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556F6">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62F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448DCC8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41E5CB3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7DC560C6">
            <w:pPr>
              <w:spacing w:line="380" w:lineRule="exact"/>
              <w:jc w:val="both"/>
              <w:rPr>
                <w:rFonts w:ascii="华文中宋" w:hAnsi="华文中宋" w:eastAsia="华文中宋"/>
                <w:sz w:val="28"/>
              </w:rPr>
            </w:pPr>
            <w:r>
              <w:rPr>
                <w:rFonts w:hint="eastAsia" w:ascii="仿宋" w:hAnsi="仿宋" w:eastAsia="仿宋" w:cs="仿宋"/>
                <w:b w:val="0"/>
                <w:bCs w:val="0"/>
                <w:sz w:val="28"/>
                <w:lang w:val="en-US" w:eastAsia="zh-CN"/>
              </w:rPr>
              <w:t>竞业限制滥用现象调查</w:t>
            </w:r>
          </w:p>
        </w:tc>
        <w:tc>
          <w:tcPr>
            <w:tcW w:w="826" w:type="dxa"/>
            <w:vAlign w:val="center"/>
          </w:tcPr>
          <w:p w14:paraId="4CA4423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04F284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39B63CA0">
            <w:pPr>
              <w:rPr>
                <w:rFonts w:ascii="仿宋_GB2312"/>
                <w:color w:val="000000"/>
                <w:sz w:val="28"/>
              </w:rPr>
            </w:pPr>
            <w:r>
              <w:rPr>
                <w:rFonts w:hint="eastAsia" w:ascii="仿宋_GB2312"/>
                <w:color w:val="000000"/>
                <w:sz w:val="28"/>
                <w:lang w:val="en-US" w:eastAsia="zh-CN"/>
              </w:rPr>
              <w:t>系列报道（报纸）</w:t>
            </w:r>
          </w:p>
        </w:tc>
      </w:tr>
      <w:tr w14:paraId="60B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1134" w:type="dxa"/>
            <w:vMerge w:val="restart"/>
            <w:vAlign w:val="center"/>
          </w:tcPr>
          <w:p w14:paraId="197DEB9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03C1B6C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69AA47FD">
            <w:pPr>
              <w:spacing w:line="240" w:lineRule="exact"/>
              <w:rPr>
                <w:rFonts w:hint="default" w:ascii="华文中宋" w:hAnsi="华文中宋" w:eastAsia="华文中宋"/>
                <w:color w:val="000000"/>
                <w:sz w:val="21"/>
                <w:szCs w:val="21"/>
                <w:lang w:val="en-US" w:eastAsia="zh-CN"/>
              </w:rPr>
            </w:pPr>
            <w:r>
              <w:rPr>
                <w:rFonts w:hint="eastAsia" w:ascii="仿宋" w:hAnsi="仿宋" w:eastAsia="仿宋" w:cs="仿宋"/>
                <w:b w:val="0"/>
                <w:bCs w:val="0"/>
                <w:sz w:val="28"/>
                <w:lang w:val="en-US" w:eastAsia="zh-CN"/>
              </w:rPr>
              <w:t>6706</w:t>
            </w:r>
          </w:p>
        </w:tc>
        <w:tc>
          <w:tcPr>
            <w:tcW w:w="826" w:type="dxa"/>
            <w:vAlign w:val="center"/>
          </w:tcPr>
          <w:p w14:paraId="2C808B9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4E2C313B">
            <w:pPr>
              <w:spacing w:line="260" w:lineRule="exact"/>
              <w:rPr>
                <w:rFonts w:ascii="仿宋_GB2312" w:hAnsi="仿宋"/>
                <w:color w:val="000000"/>
                <w:sz w:val="28"/>
              </w:rPr>
            </w:pPr>
          </w:p>
        </w:tc>
      </w:tr>
      <w:tr w14:paraId="214A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34" w:type="dxa"/>
            <w:vMerge w:val="continue"/>
            <w:tcBorders>
              <w:bottom w:val="single" w:color="auto" w:sz="4" w:space="0"/>
            </w:tcBorders>
            <w:vAlign w:val="center"/>
          </w:tcPr>
          <w:p w14:paraId="350BBEF5">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2DB8AB2E">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1F7A7A51">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659210A8">
            <w:pPr>
              <w:spacing w:line="260" w:lineRule="exact"/>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20B9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4" w:type="dxa"/>
            <w:tcBorders>
              <w:bottom w:val="single" w:color="auto" w:sz="4" w:space="0"/>
            </w:tcBorders>
            <w:vAlign w:val="center"/>
          </w:tcPr>
          <w:p w14:paraId="7C552181">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45B80C04">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224AA15A">
            <w:pPr>
              <w:spacing w:line="240" w:lineRule="exact"/>
              <w:rPr>
                <w:rFonts w:hint="default" w:ascii="华文中宋" w:hAnsi="华文中宋" w:eastAsia="华文中宋"/>
                <w:color w:val="000000"/>
                <w:sz w:val="21"/>
                <w:szCs w:val="21"/>
                <w:lang w:val="en-US" w:eastAsia="zh-CN"/>
              </w:rPr>
            </w:pPr>
            <w:r>
              <w:rPr>
                <w:rFonts w:hint="eastAsia" w:ascii="仿宋" w:hAnsi="仿宋" w:eastAsia="仿宋" w:cs="仿宋"/>
                <w:color w:val="000000"/>
                <w:sz w:val="21"/>
                <w:szCs w:val="21"/>
                <w:lang w:val="en-US" w:eastAsia="zh-CN"/>
              </w:rPr>
              <w:t>陶稳、陈丹丹、李润钊、柳姗姗、彭冰、张菁</w:t>
            </w:r>
          </w:p>
        </w:tc>
        <w:tc>
          <w:tcPr>
            <w:tcW w:w="826" w:type="dxa"/>
            <w:tcBorders>
              <w:bottom w:val="single" w:color="auto" w:sz="4" w:space="0"/>
            </w:tcBorders>
            <w:vAlign w:val="center"/>
          </w:tcPr>
          <w:p w14:paraId="37A47FD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3D720E37">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1"/>
                <w:szCs w:val="16"/>
                <w:lang w:val="en-US" w:eastAsia="zh-CN"/>
              </w:rPr>
              <w:t>郭强、陈晓燕、李丹青</w:t>
            </w:r>
          </w:p>
        </w:tc>
      </w:tr>
      <w:tr w14:paraId="742E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2647526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7FBE57E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3CEFF2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olor w:val="000000"/>
                <w:szCs w:val="21"/>
                <w:lang w:val="en-US" w:eastAsia="zh-CN"/>
              </w:rPr>
            </w:pPr>
            <w:r>
              <w:rPr>
                <w:rFonts w:hint="eastAsia" w:ascii="仿宋" w:hAnsi="仿宋" w:eastAsia="仿宋" w:cs="仿宋"/>
                <w:b w:val="0"/>
                <w:bCs w:val="0"/>
                <w:sz w:val="28"/>
                <w:lang w:val="en-US" w:eastAsia="zh-CN"/>
              </w:rPr>
              <w:t>工人日报社</w:t>
            </w:r>
          </w:p>
        </w:tc>
        <w:tc>
          <w:tcPr>
            <w:tcW w:w="1819" w:type="dxa"/>
            <w:gridSpan w:val="3"/>
            <w:vAlign w:val="center"/>
          </w:tcPr>
          <w:p w14:paraId="6E76DA57">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4B4B67BE">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36A060CE">
            <w:pPr>
              <w:spacing w:line="260" w:lineRule="exact"/>
              <w:rPr>
                <w:rFonts w:ascii="仿宋_GB2312" w:hAnsi="仿宋"/>
                <w:color w:val="000000"/>
                <w:sz w:val="18"/>
                <w:szCs w:val="18"/>
                <w:highlight w:val="green"/>
              </w:rPr>
            </w:pPr>
            <w:r>
              <w:rPr>
                <w:rFonts w:hint="eastAsia" w:ascii="仿宋" w:hAnsi="仿宋" w:eastAsia="仿宋"/>
                <w:color w:val="000000"/>
                <w:w w:val="95"/>
                <w:sz w:val="24"/>
                <w:szCs w:val="24"/>
                <w:lang w:val="en-US" w:eastAsia="zh-CN"/>
              </w:rPr>
              <w:t>工人日报、工人日报客户端、工人日报微博、中工网等</w:t>
            </w:r>
          </w:p>
        </w:tc>
      </w:tr>
      <w:tr w14:paraId="33D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418" w:type="dxa"/>
            <w:gridSpan w:val="2"/>
            <w:vAlign w:val="center"/>
          </w:tcPr>
          <w:p w14:paraId="69DD93E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39F321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146E892">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劳动保障版6版</w:t>
            </w:r>
          </w:p>
        </w:tc>
        <w:tc>
          <w:tcPr>
            <w:tcW w:w="993" w:type="dxa"/>
            <w:gridSpan w:val="2"/>
            <w:vAlign w:val="center"/>
          </w:tcPr>
          <w:p w14:paraId="5AFED75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76BE8E3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190FD335">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2024年10月28日至2024年11月25日</w:t>
            </w:r>
          </w:p>
        </w:tc>
      </w:tr>
      <w:tr w14:paraId="20B3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418" w:type="dxa"/>
            <w:gridSpan w:val="2"/>
            <w:vAlign w:val="center"/>
          </w:tcPr>
          <w:p w14:paraId="3635A9B7">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0A0ADD45">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1B87595C">
            <w:pPr>
              <w:spacing w:line="260" w:lineRule="exact"/>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fldChar w:fldCharType="begin"/>
            </w:r>
            <w:r>
              <w:rPr>
                <w:rFonts w:hint="eastAsia" w:ascii="仿宋" w:hAnsi="仿宋" w:eastAsia="仿宋" w:cs="仿宋"/>
                <w:color w:val="000000"/>
                <w:sz w:val="21"/>
                <w:szCs w:val="15"/>
                <w:lang w:val="en-US" w:eastAsia="zh-CN"/>
              </w:rPr>
              <w:instrText xml:space="preserve"> HYPERLINK "https://app.grrb.com.cn/webDetails/news?id=13628081&amp;tenantId=124&amp;uid=67f49099b0666a0492d5d913" </w:instrText>
            </w:r>
            <w:r>
              <w:rPr>
                <w:rFonts w:hint="eastAsia" w:ascii="仿宋" w:hAnsi="仿宋" w:eastAsia="仿宋" w:cs="仿宋"/>
                <w:color w:val="000000"/>
                <w:sz w:val="21"/>
                <w:szCs w:val="15"/>
                <w:lang w:val="en-US" w:eastAsia="zh-CN"/>
              </w:rPr>
              <w:fldChar w:fldCharType="separate"/>
            </w:r>
            <w:r>
              <w:rPr>
                <w:rStyle w:val="14"/>
                <w:rFonts w:hint="eastAsia" w:ascii="仿宋" w:hAnsi="仿宋" w:eastAsia="仿宋" w:cs="仿宋"/>
                <w:color w:val="000000"/>
                <w:sz w:val="21"/>
                <w:szCs w:val="15"/>
                <w:lang w:val="en-US" w:eastAsia="zh-CN"/>
              </w:rPr>
              <w:t>https://app.grrb.com.cn/webDetails/news?id=13628081&amp;tenantId=124&amp;uid=67f49099b0666a0492d5d913</w:t>
            </w:r>
            <w:r>
              <w:rPr>
                <w:rFonts w:hint="eastAsia" w:ascii="仿宋" w:hAnsi="仿宋" w:eastAsia="仿宋" w:cs="仿宋"/>
                <w:color w:val="000000"/>
                <w:sz w:val="21"/>
                <w:szCs w:val="15"/>
                <w:lang w:val="en-US" w:eastAsia="zh-CN"/>
              </w:rPr>
              <w:fldChar w:fldCharType="end"/>
            </w:r>
          </w:p>
          <w:p w14:paraId="0EE5CCD7">
            <w:pPr>
              <w:spacing w:line="260" w:lineRule="exact"/>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fldChar w:fldCharType="begin"/>
            </w:r>
            <w:r>
              <w:rPr>
                <w:rFonts w:hint="eastAsia" w:ascii="仿宋" w:hAnsi="仿宋" w:eastAsia="仿宋" w:cs="仿宋"/>
                <w:color w:val="000000"/>
                <w:sz w:val="21"/>
                <w:szCs w:val="15"/>
                <w:lang w:val="en-US" w:eastAsia="zh-CN"/>
              </w:rPr>
              <w:instrText xml:space="preserve"> HYPERLINK "https://app.grrb.com.cn/webDetails/news?id=13629798&amp;tenantId=124&amp;uid=67f49099b0666a0492d5d913" </w:instrText>
            </w:r>
            <w:r>
              <w:rPr>
                <w:rFonts w:hint="eastAsia" w:ascii="仿宋" w:hAnsi="仿宋" w:eastAsia="仿宋" w:cs="仿宋"/>
                <w:color w:val="000000"/>
                <w:sz w:val="21"/>
                <w:szCs w:val="15"/>
                <w:lang w:val="en-US" w:eastAsia="zh-CN"/>
              </w:rPr>
              <w:fldChar w:fldCharType="separate"/>
            </w:r>
            <w:r>
              <w:rPr>
                <w:rStyle w:val="14"/>
                <w:rFonts w:hint="eastAsia" w:ascii="仿宋" w:hAnsi="仿宋" w:eastAsia="仿宋" w:cs="仿宋"/>
                <w:color w:val="000000"/>
                <w:sz w:val="21"/>
                <w:szCs w:val="15"/>
                <w:lang w:val="en-US" w:eastAsia="zh-CN"/>
              </w:rPr>
              <w:t>https://app.grrb.com.cn/webDetails/news?id=13629798&amp;tenantId=124&amp;uid=67f49099b0666a0492d5d913</w:t>
            </w:r>
            <w:r>
              <w:rPr>
                <w:rFonts w:hint="eastAsia" w:ascii="仿宋" w:hAnsi="仿宋" w:eastAsia="仿宋" w:cs="仿宋"/>
                <w:color w:val="000000"/>
                <w:sz w:val="21"/>
                <w:szCs w:val="15"/>
                <w:lang w:val="en-US" w:eastAsia="zh-CN"/>
              </w:rPr>
              <w:fldChar w:fldCharType="end"/>
            </w:r>
          </w:p>
          <w:p w14:paraId="475BA2EF">
            <w:pPr>
              <w:spacing w:line="260" w:lineRule="exact"/>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fldChar w:fldCharType="begin"/>
            </w:r>
            <w:r>
              <w:rPr>
                <w:rFonts w:hint="eastAsia" w:ascii="仿宋" w:hAnsi="仿宋" w:eastAsia="仿宋" w:cs="仿宋"/>
                <w:color w:val="000000"/>
                <w:sz w:val="21"/>
                <w:szCs w:val="15"/>
                <w:lang w:val="en-US" w:eastAsia="zh-CN"/>
              </w:rPr>
              <w:instrText xml:space="preserve"> HYPERLINK "https://app.grrb.com.cn/webDetails/news?id=13633200&amp;tenantId=124&amp;uid=67f49099b0666a0492d5d913" </w:instrText>
            </w:r>
            <w:r>
              <w:rPr>
                <w:rFonts w:hint="eastAsia" w:ascii="仿宋" w:hAnsi="仿宋" w:eastAsia="仿宋" w:cs="仿宋"/>
                <w:color w:val="000000"/>
                <w:sz w:val="21"/>
                <w:szCs w:val="15"/>
                <w:lang w:val="en-US" w:eastAsia="zh-CN"/>
              </w:rPr>
              <w:fldChar w:fldCharType="separate"/>
            </w:r>
            <w:r>
              <w:rPr>
                <w:rStyle w:val="14"/>
                <w:rFonts w:hint="eastAsia" w:ascii="仿宋" w:hAnsi="仿宋" w:eastAsia="仿宋" w:cs="仿宋"/>
                <w:color w:val="000000"/>
                <w:sz w:val="21"/>
                <w:szCs w:val="15"/>
                <w:lang w:val="en-US" w:eastAsia="zh-CN"/>
              </w:rPr>
              <w:t>https://app.grrb.com.cn/webDetails/news?id=13633200&amp;tenantId=124&amp;uid=67f49099b0666a0492d5d913</w:t>
            </w:r>
            <w:r>
              <w:rPr>
                <w:rFonts w:hint="eastAsia" w:ascii="仿宋" w:hAnsi="仿宋" w:eastAsia="仿宋" w:cs="仿宋"/>
                <w:color w:val="000000"/>
                <w:sz w:val="21"/>
                <w:szCs w:val="15"/>
                <w:lang w:val="en-US" w:eastAsia="zh-CN"/>
              </w:rPr>
              <w:fldChar w:fldCharType="end"/>
            </w:r>
          </w:p>
        </w:tc>
        <w:tc>
          <w:tcPr>
            <w:tcW w:w="1725" w:type="dxa"/>
            <w:gridSpan w:val="2"/>
            <w:vAlign w:val="center"/>
          </w:tcPr>
          <w:p w14:paraId="0E157722">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46C40C57">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73D1307">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5AA8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3EC8DBB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5516558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1505A59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0AE543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376CA77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5C06D34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4FF1EC39">
            <w:pPr>
              <w:spacing w:line="240" w:lineRule="exact"/>
              <w:ind w:firstLine="420" w:firstLineChars="200"/>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近年来，滥用竞业限制导致劳动者权益受损的问题备受关注。本意为</w:t>
            </w:r>
            <w:r>
              <w:rPr>
                <w:rFonts w:hint="eastAsia" w:ascii="仿宋" w:hAnsi="仿宋" w:eastAsia="仿宋"/>
                <w:color w:val="000000"/>
                <w:sz w:val="21"/>
                <w:szCs w:val="21"/>
              </w:rPr>
              <w:t>保护商业机密和核心技术</w:t>
            </w:r>
            <w:r>
              <w:rPr>
                <w:rFonts w:hint="eastAsia" w:ascii="仿宋" w:hAnsi="仿宋" w:eastAsia="仿宋"/>
                <w:color w:val="000000"/>
                <w:sz w:val="21"/>
                <w:szCs w:val="21"/>
                <w:lang w:val="en-US" w:eastAsia="zh-CN"/>
              </w:rPr>
              <w:t>的竞业限制，却被一些用人单位当作限制劳动者跳槽的手段</w:t>
            </w:r>
            <w:r>
              <w:rPr>
                <w:rFonts w:hint="eastAsia" w:ascii="仿宋" w:hAnsi="仿宋" w:eastAsia="仿宋"/>
                <w:color w:val="000000"/>
                <w:sz w:val="21"/>
                <w:szCs w:val="21"/>
              </w:rPr>
              <w:t>。</w:t>
            </w:r>
            <w:r>
              <w:rPr>
                <w:rFonts w:hint="eastAsia" w:ascii="仿宋" w:hAnsi="仿宋" w:eastAsia="仿宋"/>
                <w:color w:val="000000"/>
                <w:sz w:val="21"/>
                <w:szCs w:val="21"/>
                <w:lang w:val="en-US" w:eastAsia="zh-CN"/>
              </w:rPr>
              <w:t>其滥用情况频出，如任意扩大竞业限制的人员范围、设置较长的竞业期限等，尤其是在互联网行业企业，这一情况更加凸显。不少专家认为，现有制度设计难以适应新形势的发展，亟待完善。</w:t>
            </w:r>
          </w:p>
          <w:p w14:paraId="3E7D3F78">
            <w:pPr>
              <w:spacing w:line="240" w:lineRule="exact"/>
              <w:ind w:firstLine="420" w:firstLineChars="200"/>
              <w:rPr>
                <w:rFonts w:ascii="仿宋" w:hAnsi="仿宋" w:eastAsia="仿宋"/>
                <w:color w:val="000000"/>
                <w:w w:val="95"/>
                <w:szCs w:val="21"/>
              </w:rPr>
            </w:pPr>
            <w:r>
              <w:rPr>
                <w:rFonts w:hint="eastAsia" w:ascii="仿宋" w:hAnsi="仿宋" w:eastAsia="仿宋"/>
                <w:color w:val="000000"/>
                <w:sz w:val="21"/>
                <w:szCs w:val="21"/>
                <w:lang w:val="en-US" w:eastAsia="zh-CN"/>
              </w:rPr>
              <w:t>该系列一共5篇，分别从严重扩张竞业限制的劳动者范围、随意扩大所涉行业企业范围、给过低的补偿金却主张过高的违约金、有意将限制期限设定为法律容许的最高期限等维度，就一些用人单位滥用竞业限制的情况展开调查、深入剖析，同时针对这些乱象采访专家寻求破解之道，以期更好地促进人才流动，建立公平有序的职场环境。</w:t>
            </w:r>
          </w:p>
        </w:tc>
      </w:tr>
      <w:tr w14:paraId="36D4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52CB2D4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6283508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477CCA7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28B416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433389BB">
            <w:pPr>
              <w:spacing w:line="240" w:lineRule="exact"/>
              <w:ind w:firstLine="420" w:firstLineChars="200"/>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这是在稳定和扩大就业任务繁重、承压前行的背景下，对维护劳动者合法权益、稳定和扩大就业起到实质推动作用的精品力作。该系列推出后，被新华网、光明网等多家中央主流媒体及主流新闻网站转载，不少媒体配发评论，全</w:t>
            </w:r>
            <w:bookmarkStart w:id="0" w:name="_GoBack"/>
            <w:bookmarkEnd w:id="0"/>
            <w:r>
              <w:rPr>
                <w:rFonts w:hint="eastAsia" w:ascii="仿宋" w:hAnsi="仿宋" w:eastAsia="仿宋"/>
                <w:color w:val="000000"/>
                <w:sz w:val="21"/>
                <w:szCs w:val="21"/>
                <w:lang w:val="en-US" w:eastAsia="zh-CN"/>
              </w:rPr>
              <w:t>网总阅读量达2190.5万。</w:t>
            </w:r>
          </w:p>
          <w:p w14:paraId="015217D4">
            <w:pPr>
              <w:spacing w:line="240" w:lineRule="exact"/>
              <w:ind w:firstLine="420" w:firstLineChars="200"/>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该系列刚推出即受到人社部相关部门赞许，对方主动提出为该系列后续报道提供支持，并公开回应称将防止竞业限制协议被滥用，充分保护劳动者合法权益。2025年4月，人社部、最高人民法院联合发布第四批劳动人事争议典型案例，聚焦滥用竞业限制等案例，引发广泛关注。</w:t>
            </w:r>
          </w:p>
          <w:p w14:paraId="5009A8B6">
            <w:pPr>
              <w:spacing w:line="240" w:lineRule="exact"/>
              <w:ind w:firstLine="420" w:firstLineChars="200"/>
              <w:rPr>
                <w:rFonts w:ascii="仿宋" w:hAnsi="仿宋" w:eastAsia="仿宋" w:cs="仿宋"/>
                <w:color w:val="000000"/>
                <w:sz w:val="24"/>
                <w:szCs w:val="18"/>
              </w:rPr>
            </w:pPr>
            <w:r>
              <w:rPr>
                <w:rFonts w:hint="eastAsia" w:ascii="仿宋" w:hAnsi="仿宋" w:eastAsia="仿宋"/>
                <w:color w:val="000000"/>
                <w:sz w:val="21"/>
                <w:szCs w:val="21"/>
                <w:lang w:val="en-US" w:eastAsia="zh-CN"/>
              </w:rPr>
              <w:t>报道在展现问题、分析问题的同时，提出合理可行的建议，这对于有关部门防范竞业限制滥用、促进高质量充分就业、推动构建和谐劳动关系具有重要作用。</w:t>
            </w:r>
          </w:p>
        </w:tc>
      </w:tr>
      <w:tr w14:paraId="46B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34E2A0A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5571A8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5CED4C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644088E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33E6C0E0">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4A15ACA">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002828F7">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42F4C9C8">
            <w:pPr>
              <w:rPr>
                <w:rFonts w:ascii="仿宋" w:hAnsi="仿宋" w:eastAsia="仿宋"/>
                <w:color w:val="000000"/>
                <w:sz w:val="21"/>
                <w:szCs w:val="21"/>
              </w:rPr>
            </w:pPr>
            <w:r>
              <w:rPr>
                <w:rFonts w:ascii="仿宋" w:hAnsi="仿宋" w:eastAsia="仿宋"/>
                <w:color w:val="000000"/>
                <w:sz w:val="21"/>
                <w:szCs w:val="21"/>
              </w:rPr>
              <w:fldChar w:fldCharType="begin"/>
            </w:r>
            <w:r>
              <w:rPr>
                <w:rFonts w:ascii="仿宋" w:hAnsi="仿宋" w:eastAsia="仿宋"/>
                <w:color w:val="000000"/>
                <w:sz w:val="21"/>
                <w:szCs w:val="21"/>
              </w:rPr>
              <w:instrText xml:space="preserve"> HYPERLINK "https://baijiahao.baidu.com/s?id=1814061801882860842" </w:instrText>
            </w:r>
            <w:r>
              <w:rPr>
                <w:rFonts w:ascii="仿宋" w:hAnsi="仿宋" w:eastAsia="仿宋"/>
                <w:color w:val="000000"/>
                <w:sz w:val="21"/>
                <w:szCs w:val="21"/>
              </w:rPr>
              <w:fldChar w:fldCharType="separate"/>
            </w:r>
            <w:r>
              <w:rPr>
                <w:rStyle w:val="14"/>
                <w:rFonts w:ascii="仿宋" w:hAnsi="仿宋" w:eastAsia="仿宋"/>
                <w:color w:val="000000"/>
                <w:sz w:val="21"/>
                <w:szCs w:val="21"/>
              </w:rPr>
              <w:t>https://baijiahao.baidu.com/s?id=1814061801882860842</w:t>
            </w:r>
            <w:r>
              <w:rPr>
                <w:rFonts w:ascii="仿宋" w:hAnsi="仿宋" w:eastAsia="仿宋"/>
                <w:color w:val="000000"/>
                <w:sz w:val="21"/>
                <w:szCs w:val="21"/>
              </w:rPr>
              <w:fldChar w:fldCharType="end"/>
            </w:r>
          </w:p>
        </w:tc>
      </w:tr>
      <w:tr w14:paraId="6CE5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37C9EA34">
            <w:pPr>
              <w:spacing w:line="320" w:lineRule="exact"/>
              <w:jc w:val="center"/>
              <w:rPr>
                <w:rFonts w:ascii="华文中宋" w:hAnsi="华文中宋" w:eastAsia="华文中宋"/>
                <w:color w:val="000000"/>
                <w:sz w:val="28"/>
              </w:rPr>
            </w:pPr>
          </w:p>
        </w:tc>
        <w:tc>
          <w:tcPr>
            <w:tcW w:w="1417" w:type="dxa"/>
            <w:gridSpan w:val="2"/>
            <w:vMerge w:val="continue"/>
            <w:vAlign w:val="center"/>
          </w:tcPr>
          <w:p w14:paraId="3530155F">
            <w:pPr>
              <w:rPr>
                <w:rFonts w:ascii="仿宋" w:hAnsi="仿宋" w:eastAsia="仿宋" w:cs="仿宋"/>
                <w:color w:val="000000"/>
                <w:sz w:val="24"/>
                <w:szCs w:val="18"/>
              </w:rPr>
            </w:pPr>
          </w:p>
        </w:tc>
        <w:tc>
          <w:tcPr>
            <w:tcW w:w="347" w:type="dxa"/>
            <w:vAlign w:val="center"/>
          </w:tcPr>
          <w:p w14:paraId="6068DE6E">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44AF2BD1">
            <w:pPr>
              <w:rPr>
                <w:rFonts w:ascii="仿宋" w:hAnsi="仿宋" w:eastAsia="仿宋"/>
                <w:color w:val="000000"/>
                <w:sz w:val="21"/>
                <w:szCs w:val="21"/>
              </w:rPr>
            </w:pPr>
            <w:r>
              <w:rPr>
                <w:rFonts w:hint="eastAsia" w:ascii="仿宋" w:hAnsi="仿宋" w:eastAsia="仿宋"/>
                <w:color w:val="000000"/>
                <w:sz w:val="21"/>
                <w:szCs w:val="21"/>
              </w:rPr>
              <w:fldChar w:fldCharType="begin"/>
            </w:r>
            <w:r>
              <w:rPr>
                <w:rFonts w:hint="eastAsia" w:ascii="仿宋" w:hAnsi="仿宋" w:eastAsia="仿宋"/>
                <w:color w:val="000000"/>
                <w:sz w:val="21"/>
                <w:szCs w:val="21"/>
              </w:rPr>
              <w:instrText xml:space="preserve"> HYPERLINK "https://baijiahao.baidu.com/s?id=1814689351863091650" </w:instrText>
            </w:r>
            <w:r>
              <w:rPr>
                <w:rFonts w:hint="eastAsia" w:ascii="仿宋" w:hAnsi="仿宋" w:eastAsia="仿宋"/>
                <w:color w:val="000000"/>
                <w:sz w:val="21"/>
                <w:szCs w:val="21"/>
              </w:rPr>
              <w:fldChar w:fldCharType="separate"/>
            </w:r>
            <w:r>
              <w:rPr>
                <w:rStyle w:val="14"/>
                <w:rFonts w:hint="eastAsia" w:ascii="仿宋" w:hAnsi="仿宋" w:eastAsia="仿宋"/>
                <w:color w:val="000000"/>
                <w:sz w:val="21"/>
                <w:szCs w:val="21"/>
              </w:rPr>
              <w:t>https://baijiahao.baidu.com/s?id=1814689351863091650</w:t>
            </w:r>
            <w:r>
              <w:rPr>
                <w:rFonts w:hint="eastAsia" w:ascii="仿宋" w:hAnsi="仿宋" w:eastAsia="仿宋"/>
                <w:color w:val="000000"/>
                <w:sz w:val="21"/>
                <w:szCs w:val="21"/>
              </w:rPr>
              <w:fldChar w:fldCharType="end"/>
            </w:r>
            <w:r>
              <w:rPr>
                <w:rFonts w:hint="eastAsia" w:ascii="仿宋" w:hAnsi="仿宋" w:eastAsia="仿宋"/>
                <w:color w:val="000000"/>
                <w:sz w:val="21"/>
                <w:szCs w:val="21"/>
              </w:rPr>
              <w:t xml:space="preserve">    </w:t>
            </w:r>
          </w:p>
        </w:tc>
      </w:tr>
      <w:tr w14:paraId="0213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2FCCADF7">
            <w:pPr>
              <w:spacing w:line="320" w:lineRule="exact"/>
              <w:jc w:val="center"/>
              <w:rPr>
                <w:rFonts w:ascii="华文中宋" w:hAnsi="华文中宋" w:eastAsia="华文中宋"/>
                <w:color w:val="000000"/>
                <w:sz w:val="28"/>
              </w:rPr>
            </w:pPr>
          </w:p>
        </w:tc>
        <w:tc>
          <w:tcPr>
            <w:tcW w:w="1417" w:type="dxa"/>
            <w:gridSpan w:val="2"/>
            <w:vMerge w:val="continue"/>
            <w:vAlign w:val="center"/>
          </w:tcPr>
          <w:p w14:paraId="306D6AE9">
            <w:pPr>
              <w:rPr>
                <w:rFonts w:ascii="仿宋" w:hAnsi="仿宋" w:eastAsia="仿宋" w:cs="仿宋"/>
                <w:color w:val="000000"/>
                <w:sz w:val="24"/>
                <w:szCs w:val="18"/>
              </w:rPr>
            </w:pPr>
          </w:p>
        </w:tc>
        <w:tc>
          <w:tcPr>
            <w:tcW w:w="347" w:type="dxa"/>
            <w:vAlign w:val="center"/>
          </w:tcPr>
          <w:p w14:paraId="0585BB7E">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0BB006D7">
            <w:pPr>
              <w:rPr>
                <w:rFonts w:ascii="仿宋" w:hAnsi="仿宋" w:eastAsia="仿宋"/>
                <w:color w:val="000000"/>
                <w:sz w:val="21"/>
                <w:szCs w:val="21"/>
              </w:rPr>
            </w:pPr>
            <w:r>
              <w:rPr>
                <w:rFonts w:ascii="仿宋" w:hAnsi="仿宋" w:eastAsia="仿宋"/>
                <w:color w:val="000000"/>
                <w:sz w:val="21"/>
                <w:szCs w:val="21"/>
              </w:rPr>
              <w:fldChar w:fldCharType="begin"/>
            </w:r>
            <w:r>
              <w:rPr>
                <w:rFonts w:ascii="仿宋" w:hAnsi="仿宋" w:eastAsia="仿宋"/>
                <w:color w:val="000000"/>
                <w:sz w:val="21"/>
                <w:szCs w:val="21"/>
              </w:rPr>
              <w:instrText xml:space="preserve"> HYPERLINK "https://baijiahao.baidu.com/s?id=1815380205025852854" </w:instrText>
            </w:r>
            <w:r>
              <w:rPr>
                <w:rFonts w:ascii="仿宋" w:hAnsi="仿宋" w:eastAsia="仿宋"/>
                <w:color w:val="000000"/>
                <w:sz w:val="21"/>
                <w:szCs w:val="21"/>
              </w:rPr>
              <w:fldChar w:fldCharType="separate"/>
            </w:r>
            <w:r>
              <w:rPr>
                <w:rStyle w:val="14"/>
                <w:rFonts w:ascii="仿宋" w:hAnsi="仿宋" w:eastAsia="仿宋"/>
                <w:color w:val="000000"/>
                <w:sz w:val="21"/>
                <w:szCs w:val="21"/>
              </w:rPr>
              <w:t>https://baijiahao.baidu.com/s?id=1815380205025852854</w:t>
            </w:r>
            <w:r>
              <w:rPr>
                <w:rFonts w:ascii="仿宋" w:hAnsi="仿宋" w:eastAsia="仿宋"/>
                <w:color w:val="000000"/>
                <w:sz w:val="21"/>
                <w:szCs w:val="21"/>
              </w:rPr>
              <w:fldChar w:fldCharType="end"/>
            </w:r>
          </w:p>
        </w:tc>
      </w:tr>
      <w:tr w14:paraId="68B8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66F19B99">
            <w:pPr>
              <w:spacing w:line="320" w:lineRule="exact"/>
              <w:jc w:val="center"/>
              <w:rPr>
                <w:rFonts w:ascii="华文中宋" w:hAnsi="华文中宋" w:eastAsia="华文中宋"/>
                <w:color w:val="000000"/>
                <w:sz w:val="28"/>
              </w:rPr>
            </w:pPr>
          </w:p>
        </w:tc>
        <w:tc>
          <w:tcPr>
            <w:tcW w:w="1417" w:type="dxa"/>
            <w:gridSpan w:val="2"/>
            <w:vAlign w:val="center"/>
          </w:tcPr>
          <w:p w14:paraId="4028C0E0">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5AA7519A">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2190.5万</w:t>
            </w:r>
          </w:p>
        </w:tc>
        <w:tc>
          <w:tcPr>
            <w:tcW w:w="992" w:type="dxa"/>
            <w:gridSpan w:val="2"/>
            <w:vAlign w:val="center"/>
          </w:tcPr>
          <w:p w14:paraId="25BC85BE">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3986ED0F">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4845</w:t>
            </w:r>
          </w:p>
        </w:tc>
        <w:tc>
          <w:tcPr>
            <w:tcW w:w="992" w:type="dxa"/>
            <w:vAlign w:val="center"/>
          </w:tcPr>
          <w:p w14:paraId="2CCF0E5F">
            <w:pPr>
              <w:rPr>
                <w:rFonts w:hint="eastAsia" w:ascii="仿宋" w:hAnsi="仿宋" w:eastAsia="仿宋"/>
                <w:color w:val="000000"/>
                <w:sz w:val="22"/>
                <w:szCs w:val="16"/>
                <w:lang w:val="en-US" w:eastAsia="zh-CN"/>
              </w:rPr>
            </w:pPr>
            <w:r>
              <w:rPr>
                <w:rFonts w:hint="eastAsia" w:ascii="仿宋" w:hAnsi="仿宋" w:eastAsia="仿宋"/>
                <w:color w:val="000000"/>
                <w:sz w:val="22"/>
                <w:szCs w:val="16"/>
                <w:lang w:val="en-US" w:eastAsia="zh-CN"/>
              </w:rPr>
              <w:t>互动量</w:t>
            </w:r>
          </w:p>
        </w:tc>
        <w:tc>
          <w:tcPr>
            <w:tcW w:w="1549" w:type="dxa"/>
            <w:vAlign w:val="center"/>
          </w:tcPr>
          <w:p w14:paraId="66FD8725">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314</w:t>
            </w:r>
          </w:p>
        </w:tc>
      </w:tr>
      <w:tr w14:paraId="0FDA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exact"/>
        </w:trPr>
        <w:tc>
          <w:tcPr>
            <w:tcW w:w="1134" w:type="dxa"/>
            <w:tcBorders>
              <w:bottom w:val="single" w:color="auto" w:sz="4" w:space="0"/>
            </w:tcBorders>
            <w:vAlign w:val="center"/>
          </w:tcPr>
          <w:p w14:paraId="3521449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5B38E35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62806A7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1189095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5E9D6B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762CE8C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71F7D8C5">
            <w:pPr>
              <w:spacing w:line="240" w:lineRule="exact"/>
              <w:ind w:firstLine="420" w:firstLineChars="200"/>
              <w:rPr>
                <w:rFonts w:ascii="华文中宋" w:hAnsi="华文中宋" w:eastAsia="华文中宋"/>
                <w:color w:val="000000"/>
                <w:spacing w:val="-2"/>
                <w:sz w:val="28"/>
              </w:rPr>
            </w:pPr>
            <w:r>
              <w:rPr>
                <w:rFonts w:hint="eastAsia" w:ascii="仿宋" w:hAnsi="仿宋" w:eastAsia="仿宋"/>
                <w:color w:val="000000"/>
                <w:sz w:val="21"/>
                <w:szCs w:val="21"/>
                <w:lang w:val="en-US" w:eastAsia="zh-CN"/>
              </w:rPr>
              <w:t>竞业限制不仅关乎诸多劳动者的权益、企业的创新创造、相关领域的技术进步，也关乎就业公平、就业市场的秩序。这组系列报道精心策划、内容详实、逻辑清晰、结构严谨、客观平衡，报道多方采访劳动者、企业人力资源工作人员，辅以权威部门的报告和数据加以佐证，全面深刻地揭露了“签完竞业协议，感觉像被全行业‘封杀’了”“补少赔多”等竞业限制滥用乱象，同时请有关部门负责人、业内专家深度“把脉”，问题找得准、分析有理有据、建议得当可行。该系列视角宏阔，获评工人日报2024年度十佳系列报道，体现了“工”字特色媒体切实推动实现好、维护好、发展好劳动者合法权益的情怀与责任担当。</w:t>
            </w:r>
          </w:p>
          <w:p w14:paraId="33C896F3">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03405136">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33E636B0">
      <w:pPr>
        <w:spacing w:after="223"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10"/>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14:paraId="67A3557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127A7A1A">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153BDD21">
            <w:pPr>
              <w:snapToGrid w:val="0"/>
              <w:ind w:firstLine="56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竞业限制滥用现象调查</w:t>
            </w:r>
          </w:p>
        </w:tc>
      </w:tr>
      <w:tr w14:paraId="2D6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3267CEC">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750680F2">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695670CE">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0381AEFC">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0DD16E5E">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452244CB">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331B58F7">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671C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bottom w:val="single" w:color="auto" w:sz="4" w:space="0"/>
            </w:tcBorders>
            <w:vAlign w:val="center"/>
          </w:tcPr>
          <w:p w14:paraId="48A470C8">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37AD5714">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实习生、厨师也被竞业！离谱的“全员竞业”怎么破？</w:t>
            </w:r>
          </w:p>
        </w:tc>
        <w:tc>
          <w:tcPr>
            <w:tcW w:w="981" w:type="dxa"/>
            <w:tcBorders>
              <w:top w:val="single" w:color="auto" w:sz="4" w:space="0"/>
              <w:bottom w:val="single" w:color="auto" w:sz="4" w:space="0"/>
            </w:tcBorders>
            <w:vAlign w:val="center"/>
          </w:tcPr>
          <w:p w14:paraId="516CFAF7">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bottom w:val="single" w:color="auto" w:sz="4" w:space="0"/>
            </w:tcBorders>
            <w:vAlign w:val="center"/>
          </w:tcPr>
          <w:p w14:paraId="38A1F96F">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2419</w:t>
            </w:r>
          </w:p>
        </w:tc>
        <w:tc>
          <w:tcPr>
            <w:tcW w:w="1559" w:type="dxa"/>
            <w:tcBorders>
              <w:top w:val="single" w:color="auto" w:sz="4" w:space="0"/>
              <w:bottom w:val="single" w:color="auto" w:sz="4" w:space="0"/>
            </w:tcBorders>
            <w:vAlign w:val="center"/>
          </w:tcPr>
          <w:p w14:paraId="0B37B63B">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2024年10月28日</w:t>
            </w:r>
          </w:p>
          <w:p w14:paraId="6F235BCF">
            <w:pPr>
              <w:snapToGrid w:val="0"/>
              <w:rPr>
                <w:rFonts w:hint="eastAsia" w:ascii="华文中宋" w:hAnsi="华文中宋" w:eastAsia="华文中宋"/>
                <w:color w:val="000000"/>
                <w:sz w:val="21"/>
                <w:szCs w:val="21"/>
              </w:rPr>
            </w:pPr>
          </w:p>
        </w:tc>
        <w:tc>
          <w:tcPr>
            <w:tcW w:w="996" w:type="dxa"/>
            <w:tcBorders>
              <w:top w:val="single" w:color="auto" w:sz="4" w:space="0"/>
              <w:bottom w:val="single" w:color="auto" w:sz="4" w:space="0"/>
            </w:tcBorders>
            <w:vAlign w:val="center"/>
          </w:tcPr>
          <w:p w14:paraId="2D60D85F">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bottom w:val="single" w:color="auto" w:sz="4" w:space="0"/>
            </w:tcBorders>
            <w:vAlign w:val="center"/>
          </w:tcPr>
          <w:p w14:paraId="6A2C6B36">
            <w:pPr>
              <w:snapToGrid w:val="0"/>
              <w:rPr>
                <w:rFonts w:hint="eastAsia" w:ascii="华文中宋" w:hAnsi="华文中宋" w:eastAsia="华文中宋"/>
                <w:color w:val="000000"/>
                <w:sz w:val="21"/>
                <w:szCs w:val="21"/>
              </w:rPr>
            </w:pPr>
          </w:p>
        </w:tc>
      </w:tr>
      <w:tr w14:paraId="7958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bottom w:val="single" w:color="auto" w:sz="4" w:space="0"/>
            </w:tcBorders>
            <w:vAlign w:val="center"/>
          </w:tcPr>
          <w:p w14:paraId="1DD3275A">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3C06C2E4">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“签完竞业协议，感觉像被全行业‘封杀’了”</w:t>
            </w:r>
          </w:p>
          <w:p w14:paraId="6E31B2E7">
            <w:pPr>
              <w:snapToGrid w:val="0"/>
              <w:rPr>
                <w:rFonts w:hint="eastAsia" w:ascii="华文中宋" w:hAnsi="华文中宋" w:eastAsia="华文中宋"/>
                <w:color w:val="000000"/>
                <w:sz w:val="21"/>
                <w:szCs w:val="21"/>
              </w:rPr>
            </w:pPr>
          </w:p>
        </w:tc>
        <w:tc>
          <w:tcPr>
            <w:tcW w:w="981" w:type="dxa"/>
            <w:tcBorders>
              <w:bottom w:val="single" w:color="auto" w:sz="4" w:space="0"/>
            </w:tcBorders>
            <w:vAlign w:val="center"/>
          </w:tcPr>
          <w:p w14:paraId="7DBAA9B8">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bottom w:val="single" w:color="auto" w:sz="4" w:space="0"/>
            </w:tcBorders>
            <w:vAlign w:val="center"/>
          </w:tcPr>
          <w:p w14:paraId="10D92847">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2245</w:t>
            </w:r>
          </w:p>
        </w:tc>
        <w:tc>
          <w:tcPr>
            <w:tcW w:w="1559" w:type="dxa"/>
            <w:tcBorders>
              <w:bottom w:val="single" w:color="auto" w:sz="4" w:space="0"/>
            </w:tcBorders>
            <w:vAlign w:val="center"/>
          </w:tcPr>
          <w:p w14:paraId="7E0A1883">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2024年11月4日</w:t>
            </w:r>
          </w:p>
          <w:p w14:paraId="37F5C8B7">
            <w:pPr>
              <w:snapToGrid w:val="0"/>
              <w:rPr>
                <w:rFonts w:hint="eastAsia" w:ascii="华文中宋" w:hAnsi="华文中宋" w:eastAsia="华文中宋"/>
                <w:color w:val="000000"/>
                <w:sz w:val="21"/>
                <w:szCs w:val="21"/>
              </w:rPr>
            </w:pPr>
          </w:p>
        </w:tc>
        <w:tc>
          <w:tcPr>
            <w:tcW w:w="996" w:type="dxa"/>
            <w:tcBorders>
              <w:bottom w:val="single" w:color="auto" w:sz="4" w:space="0"/>
            </w:tcBorders>
            <w:vAlign w:val="center"/>
          </w:tcPr>
          <w:p w14:paraId="2A3EDD20">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bottom w:val="single" w:color="auto" w:sz="4" w:space="0"/>
            </w:tcBorders>
            <w:vAlign w:val="center"/>
          </w:tcPr>
          <w:p w14:paraId="4730D373">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代表作</w:t>
            </w:r>
          </w:p>
        </w:tc>
      </w:tr>
      <w:tr w14:paraId="4802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27B88667">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447FFD7F">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补少赔多，如此竞业限制公平吗？</w:t>
            </w:r>
          </w:p>
          <w:p w14:paraId="4606BFE3">
            <w:pPr>
              <w:snapToGrid w:val="0"/>
              <w:rPr>
                <w:rFonts w:hint="eastAsia" w:ascii="华文中宋" w:hAnsi="华文中宋" w:eastAsia="华文中宋"/>
                <w:color w:val="000000"/>
                <w:sz w:val="21"/>
                <w:szCs w:val="21"/>
              </w:rPr>
            </w:pPr>
          </w:p>
        </w:tc>
        <w:tc>
          <w:tcPr>
            <w:tcW w:w="981" w:type="dxa"/>
            <w:tcBorders>
              <w:top w:val="single" w:color="auto" w:sz="4" w:space="0"/>
              <w:left w:val="single" w:color="auto" w:sz="4" w:space="0"/>
              <w:bottom w:val="single" w:color="auto" w:sz="4" w:space="0"/>
              <w:right w:val="single" w:color="auto" w:sz="4" w:space="0"/>
            </w:tcBorders>
            <w:vAlign w:val="center"/>
          </w:tcPr>
          <w:p w14:paraId="29CC868E">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left w:val="single" w:color="auto" w:sz="4" w:space="0"/>
              <w:bottom w:val="single" w:color="auto" w:sz="4" w:space="0"/>
              <w:right w:val="single" w:color="auto" w:sz="4" w:space="0"/>
            </w:tcBorders>
            <w:vAlign w:val="center"/>
          </w:tcPr>
          <w:p w14:paraId="3E90CD7F">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2192</w:t>
            </w:r>
          </w:p>
        </w:tc>
        <w:tc>
          <w:tcPr>
            <w:tcW w:w="1559" w:type="dxa"/>
            <w:tcBorders>
              <w:top w:val="single" w:color="auto" w:sz="4" w:space="0"/>
              <w:left w:val="single" w:color="auto" w:sz="4" w:space="0"/>
              <w:bottom w:val="single" w:color="auto" w:sz="4" w:space="0"/>
              <w:right w:val="single" w:color="auto" w:sz="4" w:space="0"/>
            </w:tcBorders>
            <w:vAlign w:val="center"/>
          </w:tcPr>
          <w:p w14:paraId="6AEA66BB">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2024年11月11日</w:t>
            </w:r>
          </w:p>
          <w:p w14:paraId="18EB6001">
            <w:pPr>
              <w:snapToGrid w:val="0"/>
              <w:rPr>
                <w:rFonts w:hint="eastAsia" w:ascii="华文中宋" w:hAnsi="华文中宋" w:eastAsia="华文中宋"/>
                <w:color w:val="00000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00483A29">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left w:val="single" w:color="auto" w:sz="4" w:space="0"/>
              <w:bottom w:val="single" w:color="auto" w:sz="4" w:space="0"/>
              <w:right w:val="single" w:color="auto" w:sz="4" w:space="0"/>
            </w:tcBorders>
            <w:vAlign w:val="center"/>
          </w:tcPr>
          <w:p w14:paraId="050BC50E">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代表作</w:t>
            </w:r>
          </w:p>
        </w:tc>
      </w:tr>
      <w:tr w14:paraId="1822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tcBorders>
            <w:vAlign w:val="center"/>
          </w:tcPr>
          <w:p w14:paraId="29C8D3BD">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CE13A00">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“‘就高不就低’的竞业限制期限，真耗不起啊！”</w:t>
            </w:r>
          </w:p>
        </w:tc>
        <w:tc>
          <w:tcPr>
            <w:tcW w:w="981" w:type="dxa"/>
            <w:tcBorders>
              <w:top w:val="single" w:color="auto" w:sz="4" w:space="0"/>
            </w:tcBorders>
            <w:vAlign w:val="center"/>
          </w:tcPr>
          <w:p w14:paraId="6339CA98">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tcBorders>
            <w:vAlign w:val="center"/>
          </w:tcPr>
          <w:p w14:paraId="09BBCBAE">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2364</w:t>
            </w:r>
          </w:p>
        </w:tc>
        <w:tc>
          <w:tcPr>
            <w:tcW w:w="1559" w:type="dxa"/>
            <w:tcBorders>
              <w:top w:val="single" w:color="auto" w:sz="4" w:space="0"/>
            </w:tcBorders>
            <w:vAlign w:val="center"/>
          </w:tcPr>
          <w:p w14:paraId="46CB5B2D">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2024年11月18日</w:t>
            </w:r>
          </w:p>
          <w:p w14:paraId="1A990C03">
            <w:pPr>
              <w:snapToGrid w:val="0"/>
              <w:rPr>
                <w:rFonts w:hint="eastAsia" w:ascii="华文中宋" w:hAnsi="华文中宋" w:eastAsia="华文中宋"/>
                <w:color w:val="000000"/>
                <w:sz w:val="21"/>
                <w:szCs w:val="21"/>
              </w:rPr>
            </w:pPr>
          </w:p>
        </w:tc>
        <w:tc>
          <w:tcPr>
            <w:tcW w:w="996" w:type="dxa"/>
            <w:tcBorders>
              <w:top w:val="single" w:color="auto" w:sz="4" w:space="0"/>
            </w:tcBorders>
            <w:vAlign w:val="center"/>
          </w:tcPr>
          <w:p w14:paraId="4E93C18D">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tcBorders>
            <w:vAlign w:val="center"/>
          </w:tcPr>
          <w:p w14:paraId="7437506F">
            <w:pPr>
              <w:snapToGrid w:val="0"/>
              <w:rPr>
                <w:rFonts w:hint="eastAsia" w:ascii="华文中宋" w:hAnsi="华文中宋" w:eastAsia="华文中宋"/>
                <w:color w:val="000000"/>
                <w:sz w:val="21"/>
                <w:szCs w:val="21"/>
              </w:rPr>
            </w:pPr>
          </w:p>
        </w:tc>
      </w:tr>
      <w:tr w14:paraId="7E4D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2007D23D">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0A7A8CFC">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完善规则，别让竞业限制成为“就业限制”</w:t>
            </w:r>
          </w:p>
        </w:tc>
        <w:tc>
          <w:tcPr>
            <w:tcW w:w="981" w:type="dxa"/>
            <w:vAlign w:val="center"/>
          </w:tcPr>
          <w:p w14:paraId="3AF3269E">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通讯</w:t>
            </w:r>
          </w:p>
        </w:tc>
        <w:tc>
          <w:tcPr>
            <w:tcW w:w="992" w:type="dxa"/>
            <w:vAlign w:val="center"/>
          </w:tcPr>
          <w:p w14:paraId="3A2928D8">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2269</w:t>
            </w:r>
          </w:p>
        </w:tc>
        <w:tc>
          <w:tcPr>
            <w:tcW w:w="1559" w:type="dxa"/>
            <w:vAlign w:val="center"/>
          </w:tcPr>
          <w:p w14:paraId="4213FEA4">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2024年11月25日</w:t>
            </w:r>
          </w:p>
          <w:p w14:paraId="781AC7FE">
            <w:pPr>
              <w:snapToGrid w:val="0"/>
              <w:rPr>
                <w:rFonts w:hint="eastAsia" w:ascii="华文中宋" w:hAnsi="华文中宋" w:eastAsia="华文中宋"/>
                <w:color w:val="000000"/>
                <w:sz w:val="21"/>
                <w:szCs w:val="21"/>
              </w:rPr>
            </w:pPr>
          </w:p>
        </w:tc>
        <w:tc>
          <w:tcPr>
            <w:tcW w:w="996" w:type="dxa"/>
            <w:vAlign w:val="center"/>
          </w:tcPr>
          <w:p w14:paraId="563E8D9A">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vAlign w:val="center"/>
          </w:tcPr>
          <w:p w14:paraId="0FE69185">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代表作</w:t>
            </w:r>
          </w:p>
        </w:tc>
      </w:tr>
      <w:tr w14:paraId="7CF8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2847DA8D">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5A26F397">
            <w:pPr>
              <w:snapToGrid w:val="0"/>
              <w:rPr>
                <w:rFonts w:ascii="华文中宋" w:hAnsi="华文中宋" w:eastAsia="华文中宋"/>
                <w:color w:val="000000"/>
                <w:sz w:val="28"/>
                <w:szCs w:val="28"/>
              </w:rPr>
            </w:pPr>
          </w:p>
        </w:tc>
        <w:tc>
          <w:tcPr>
            <w:tcW w:w="981" w:type="dxa"/>
            <w:vAlign w:val="center"/>
          </w:tcPr>
          <w:p w14:paraId="088FA022">
            <w:pPr>
              <w:snapToGrid w:val="0"/>
              <w:rPr>
                <w:rFonts w:ascii="华文中宋" w:hAnsi="华文中宋" w:eastAsia="华文中宋"/>
                <w:color w:val="000000"/>
                <w:sz w:val="28"/>
                <w:szCs w:val="28"/>
              </w:rPr>
            </w:pPr>
          </w:p>
        </w:tc>
        <w:tc>
          <w:tcPr>
            <w:tcW w:w="992" w:type="dxa"/>
            <w:vAlign w:val="center"/>
          </w:tcPr>
          <w:p w14:paraId="115D6F43">
            <w:pPr>
              <w:snapToGrid w:val="0"/>
              <w:rPr>
                <w:rFonts w:ascii="华文中宋" w:hAnsi="华文中宋" w:eastAsia="华文中宋"/>
                <w:color w:val="000000"/>
                <w:sz w:val="28"/>
                <w:szCs w:val="28"/>
              </w:rPr>
            </w:pPr>
          </w:p>
        </w:tc>
        <w:tc>
          <w:tcPr>
            <w:tcW w:w="1559" w:type="dxa"/>
            <w:vAlign w:val="center"/>
          </w:tcPr>
          <w:p w14:paraId="1A372430">
            <w:pPr>
              <w:snapToGrid w:val="0"/>
              <w:rPr>
                <w:rFonts w:ascii="华文中宋" w:hAnsi="华文中宋" w:eastAsia="华文中宋"/>
                <w:color w:val="000000"/>
                <w:sz w:val="28"/>
                <w:szCs w:val="28"/>
              </w:rPr>
            </w:pPr>
          </w:p>
        </w:tc>
        <w:tc>
          <w:tcPr>
            <w:tcW w:w="996" w:type="dxa"/>
            <w:vAlign w:val="center"/>
          </w:tcPr>
          <w:p w14:paraId="6561AEA7">
            <w:pPr>
              <w:snapToGrid w:val="0"/>
              <w:rPr>
                <w:rFonts w:ascii="华文中宋" w:hAnsi="华文中宋" w:eastAsia="华文中宋"/>
                <w:color w:val="000000"/>
                <w:sz w:val="28"/>
                <w:szCs w:val="28"/>
              </w:rPr>
            </w:pPr>
          </w:p>
        </w:tc>
        <w:tc>
          <w:tcPr>
            <w:tcW w:w="942" w:type="dxa"/>
            <w:vAlign w:val="center"/>
          </w:tcPr>
          <w:p w14:paraId="6F360D6C">
            <w:pPr>
              <w:snapToGrid w:val="0"/>
              <w:rPr>
                <w:rFonts w:ascii="华文中宋" w:hAnsi="华文中宋" w:eastAsia="华文中宋"/>
                <w:color w:val="000000"/>
                <w:sz w:val="28"/>
                <w:szCs w:val="28"/>
              </w:rPr>
            </w:pPr>
          </w:p>
        </w:tc>
      </w:tr>
      <w:tr w14:paraId="711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1F4F5246">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13FB9684">
            <w:pPr>
              <w:snapToGrid w:val="0"/>
              <w:rPr>
                <w:rFonts w:ascii="华文中宋" w:hAnsi="华文中宋" w:eastAsia="华文中宋"/>
                <w:color w:val="000000"/>
                <w:sz w:val="28"/>
                <w:szCs w:val="28"/>
              </w:rPr>
            </w:pPr>
          </w:p>
        </w:tc>
        <w:tc>
          <w:tcPr>
            <w:tcW w:w="981" w:type="dxa"/>
            <w:vAlign w:val="center"/>
          </w:tcPr>
          <w:p w14:paraId="1ED92F8D">
            <w:pPr>
              <w:snapToGrid w:val="0"/>
              <w:rPr>
                <w:rFonts w:ascii="华文中宋" w:hAnsi="华文中宋" w:eastAsia="华文中宋"/>
                <w:color w:val="000000"/>
                <w:sz w:val="28"/>
                <w:szCs w:val="28"/>
              </w:rPr>
            </w:pPr>
          </w:p>
        </w:tc>
        <w:tc>
          <w:tcPr>
            <w:tcW w:w="992" w:type="dxa"/>
            <w:vAlign w:val="center"/>
          </w:tcPr>
          <w:p w14:paraId="7019DD70">
            <w:pPr>
              <w:snapToGrid w:val="0"/>
              <w:rPr>
                <w:rFonts w:ascii="华文中宋" w:hAnsi="华文中宋" w:eastAsia="华文中宋"/>
                <w:color w:val="000000"/>
                <w:sz w:val="28"/>
                <w:szCs w:val="28"/>
              </w:rPr>
            </w:pPr>
          </w:p>
        </w:tc>
        <w:tc>
          <w:tcPr>
            <w:tcW w:w="1559" w:type="dxa"/>
            <w:vAlign w:val="center"/>
          </w:tcPr>
          <w:p w14:paraId="67A6906A">
            <w:pPr>
              <w:snapToGrid w:val="0"/>
              <w:rPr>
                <w:rFonts w:ascii="华文中宋" w:hAnsi="华文中宋" w:eastAsia="华文中宋"/>
                <w:color w:val="000000"/>
                <w:sz w:val="28"/>
                <w:szCs w:val="28"/>
              </w:rPr>
            </w:pPr>
          </w:p>
        </w:tc>
        <w:tc>
          <w:tcPr>
            <w:tcW w:w="996" w:type="dxa"/>
            <w:vAlign w:val="center"/>
          </w:tcPr>
          <w:p w14:paraId="27DD9754">
            <w:pPr>
              <w:snapToGrid w:val="0"/>
              <w:rPr>
                <w:rFonts w:ascii="华文中宋" w:hAnsi="华文中宋" w:eastAsia="华文中宋"/>
                <w:color w:val="000000"/>
                <w:sz w:val="28"/>
                <w:szCs w:val="28"/>
              </w:rPr>
            </w:pPr>
          </w:p>
        </w:tc>
        <w:tc>
          <w:tcPr>
            <w:tcW w:w="942" w:type="dxa"/>
            <w:vAlign w:val="center"/>
          </w:tcPr>
          <w:p w14:paraId="5674D13B">
            <w:pPr>
              <w:snapToGrid w:val="0"/>
              <w:rPr>
                <w:rFonts w:ascii="华文中宋" w:hAnsi="华文中宋" w:eastAsia="华文中宋"/>
                <w:color w:val="000000"/>
                <w:sz w:val="28"/>
                <w:szCs w:val="28"/>
              </w:rPr>
            </w:pPr>
          </w:p>
        </w:tc>
      </w:tr>
      <w:tr w14:paraId="1FBB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2CDC35A4">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067F9B35">
            <w:pPr>
              <w:snapToGrid w:val="0"/>
              <w:rPr>
                <w:rFonts w:ascii="华文中宋" w:hAnsi="华文中宋" w:eastAsia="华文中宋"/>
                <w:color w:val="000000"/>
                <w:sz w:val="28"/>
                <w:szCs w:val="28"/>
              </w:rPr>
            </w:pPr>
          </w:p>
        </w:tc>
        <w:tc>
          <w:tcPr>
            <w:tcW w:w="981" w:type="dxa"/>
            <w:vAlign w:val="center"/>
          </w:tcPr>
          <w:p w14:paraId="1C63BEEF">
            <w:pPr>
              <w:snapToGrid w:val="0"/>
              <w:rPr>
                <w:rFonts w:ascii="华文中宋" w:hAnsi="华文中宋" w:eastAsia="华文中宋"/>
                <w:color w:val="000000"/>
                <w:sz w:val="28"/>
                <w:szCs w:val="28"/>
              </w:rPr>
            </w:pPr>
          </w:p>
        </w:tc>
        <w:tc>
          <w:tcPr>
            <w:tcW w:w="992" w:type="dxa"/>
            <w:vAlign w:val="center"/>
          </w:tcPr>
          <w:p w14:paraId="385DC641">
            <w:pPr>
              <w:snapToGrid w:val="0"/>
              <w:rPr>
                <w:rFonts w:ascii="华文中宋" w:hAnsi="华文中宋" w:eastAsia="华文中宋"/>
                <w:color w:val="000000"/>
                <w:sz w:val="28"/>
                <w:szCs w:val="28"/>
              </w:rPr>
            </w:pPr>
          </w:p>
        </w:tc>
        <w:tc>
          <w:tcPr>
            <w:tcW w:w="1559" w:type="dxa"/>
            <w:vAlign w:val="center"/>
          </w:tcPr>
          <w:p w14:paraId="36250426">
            <w:pPr>
              <w:snapToGrid w:val="0"/>
              <w:rPr>
                <w:rFonts w:ascii="华文中宋" w:hAnsi="华文中宋" w:eastAsia="华文中宋"/>
                <w:color w:val="000000"/>
                <w:sz w:val="28"/>
                <w:szCs w:val="28"/>
              </w:rPr>
            </w:pPr>
          </w:p>
        </w:tc>
        <w:tc>
          <w:tcPr>
            <w:tcW w:w="996" w:type="dxa"/>
            <w:vAlign w:val="center"/>
          </w:tcPr>
          <w:p w14:paraId="4FFF8234">
            <w:pPr>
              <w:snapToGrid w:val="0"/>
              <w:rPr>
                <w:rFonts w:ascii="华文中宋" w:hAnsi="华文中宋" w:eastAsia="华文中宋"/>
                <w:color w:val="000000"/>
                <w:sz w:val="28"/>
                <w:szCs w:val="28"/>
              </w:rPr>
            </w:pPr>
          </w:p>
        </w:tc>
        <w:tc>
          <w:tcPr>
            <w:tcW w:w="942" w:type="dxa"/>
            <w:vAlign w:val="center"/>
          </w:tcPr>
          <w:p w14:paraId="52EB057B">
            <w:pPr>
              <w:snapToGrid w:val="0"/>
              <w:rPr>
                <w:rFonts w:ascii="华文中宋" w:hAnsi="华文中宋" w:eastAsia="华文中宋"/>
                <w:color w:val="000000"/>
                <w:sz w:val="28"/>
                <w:szCs w:val="28"/>
              </w:rPr>
            </w:pPr>
          </w:p>
        </w:tc>
      </w:tr>
      <w:tr w14:paraId="22D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182B6D59">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6B3DA941">
            <w:pPr>
              <w:snapToGrid w:val="0"/>
              <w:rPr>
                <w:rFonts w:ascii="华文中宋" w:hAnsi="华文中宋" w:eastAsia="华文中宋"/>
                <w:color w:val="000000"/>
                <w:sz w:val="28"/>
                <w:szCs w:val="28"/>
              </w:rPr>
            </w:pPr>
          </w:p>
        </w:tc>
        <w:tc>
          <w:tcPr>
            <w:tcW w:w="981" w:type="dxa"/>
            <w:vAlign w:val="center"/>
          </w:tcPr>
          <w:p w14:paraId="57FC51CC">
            <w:pPr>
              <w:snapToGrid w:val="0"/>
              <w:rPr>
                <w:rFonts w:ascii="华文中宋" w:hAnsi="华文中宋" w:eastAsia="华文中宋"/>
                <w:color w:val="000000"/>
                <w:sz w:val="28"/>
                <w:szCs w:val="28"/>
              </w:rPr>
            </w:pPr>
          </w:p>
        </w:tc>
        <w:tc>
          <w:tcPr>
            <w:tcW w:w="992" w:type="dxa"/>
            <w:vAlign w:val="center"/>
          </w:tcPr>
          <w:p w14:paraId="07163746">
            <w:pPr>
              <w:snapToGrid w:val="0"/>
              <w:rPr>
                <w:rFonts w:ascii="华文中宋" w:hAnsi="华文中宋" w:eastAsia="华文中宋"/>
                <w:color w:val="000000"/>
                <w:sz w:val="28"/>
                <w:szCs w:val="28"/>
              </w:rPr>
            </w:pPr>
          </w:p>
        </w:tc>
        <w:tc>
          <w:tcPr>
            <w:tcW w:w="1559" w:type="dxa"/>
            <w:vAlign w:val="center"/>
          </w:tcPr>
          <w:p w14:paraId="5819C4F0">
            <w:pPr>
              <w:snapToGrid w:val="0"/>
              <w:rPr>
                <w:rFonts w:ascii="华文中宋" w:hAnsi="华文中宋" w:eastAsia="华文中宋"/>
                <w:color w:val="000000"/>
                <w:sz w:val="28"/>
                <w:szCs w:val="28"/>
              </w:rPr>
            </w:pPr>
          </w:p>
        </w:tc>
        <w:tc>
          <w:tcPr>
            <w:tcW w:w="996" w:type="dxa"/>
            <w:vAlign w:val="center"/>
          </w:tcPr>
          <w:p w14:paraId="571C3DD1">
            <w:pPr>
              <w:snapToGrid w:val="0"/>
              <w:rPr>
                <w:rFonts w:ascii="华文中宋" w:hAnsi="华文中宋" w:eastAsia="华文中宋"/>
                <w:color w:val="000000"/>
                <w:sz w:val="28"/>
                <w:szCs w:val="28"/>
              </w:rPr>
            </w:pPr>
          </w:p>
        </w:tc>
        <w:tc>
          <w:tcPr>
            <w:tcW w:w="942" w:type="dxa"/>
            <w:vAlign w:val="center"/>
          </w:tcPr>
          <w:p w14:paraId="34D044B3">
            <w:pPr>
              <w:snapToGrid w:val="0"/>
              <w:rPr>
                <w:rFonts w:ascii="华文中宋" w:hAnsi="华文中宋" w:eastAsia="华文中宋"/>
                <w:color w:val="000000"/>
                <w:sz w:val="28"/>
                <w:szCs w:val="28"/>
              </w:rPr>
            </w:pPr>
          </w:p>
        </w:tc>
      </w:tr>
      <w:tr w14:paraId="3BA3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D5FF133">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2BD3A45A">
            <w:pPr>
              <w:snapToGrid w:val="0"/>
              <w:rPr>
                <w:rFonts w:ascii="华文中宋" w:hAnsi="华文中宋" w:eastAsia="华文中宋"/>
                <w:color w:val="000000"/>
                <w:sz w:val="28"/>
                <w:szCs w:val="28"/>
              </w:rPr>
            </w:pPr>
          </w:p>
        </w:tc>
        <w:tc>
          <w:tcPr>
            <w:tcW w:w="981" w:type="dxa"/>
            <w:vAlign w:val="center"/>
          </w:tcPr>
          <w:p w14:paraId="1A1D92A5">
            <w:pPr>
              <w:snapToGrid w:val="0"/>
              <w:rPr>
                <w:rFonts w:ascii="华文中宋" w:hAnsi="华文中宋" w:eastAsia="华文中宋"/>
                <w:color w:val="000000"/>
                <w:sz w:val="28"/>
                <w:szCs w:val="28"/>
              </w:rPr>
            </w:pPr>
          </w:p>
        </w:tc>
        <w:tc>
          <w:tcPr>
            <w:tcW w:w="992" w:type="dxa"/>
            <w:vAlign w:val="center"/>
          </w:tcPr>
          <w:p w14:paraId="3D2C30C0">
            <w:pPr>
              <w:snapToGrid w:val="0"/>
              <w:rPr>
                <w:rFonts w:ascii="华文中宋" w:hAnsi="华文中宋" w:eastAsia="华文中宋"/>
                <w:color w:val="000000"/>
                <w:sz w:val="28"/>
                <w:szCs w:val="28"/>
              </w:rPr>
            </w:pPr>
          </w:p>
        </w:tc>
        <w:tc>
          <w:tcPr>
            <w:tcW w:w="1559" w:type="dxa"/>
            <w:vAlign w:val="center"/>
          </w:tcPr>
          <w:p w14:paraId="288B5B2A">
            <w:pPr>
              <w:snapToGrid w:val="0"/>
              <w:rPr>
                <w:rFonts w:ascii="华文中宋" w:hAnsi="华文中宋" w:eastAsia="华文中宋"/>
                <w:color w:val="000000"/>
                <w:sz w:val="28"/>
                <w:szCs w:val="28"/>
              </w:rPr>
            </w:pPr>
          </w:p>
        </w:tc>
        <w:tc>
          <w:tcPr>
            <w:tcW w:w="996" w:type="dxa"/>
            <w:vAlign w:val="center"/>
          </w:tcPr>
          <w:p w14:paraId="61A53360">
            <w:pPr>
              <w:snapToGrid w:val="0"/>
              <w:rPr>
                <w:rFonts w:ascii="华文中宋" w:hAnsi="华文中宋" w:eastAsia="华文中宋"/>
                <w:color w:val="000000"/>
                <w:sz w:val="28"/>
                <w:szCs w:val="28"/>
              </w:rPr>
            </w:pPr>
          </w:p>
        </w:tc>
        <w:tc>
          <w:tcPr>
            <w:tcW w:w="942" w:type="dxa"/>
            <w:vAlign w:val="center"/>
          </w:tcPr>
          <w:p w14:paraId="107D98CC">
            <w:pPr>
              <w:snapToGrid w:val="0"/>
              <w:rPr>
                <w:rFonts w:ascii="华文中宋" w:hAnsi="华文中宋" w:eastAsia="华文中宋"/>
                <w:color w:val="000000"/>
                <w:sz w:val="28"/>
                <w:szCs w:val="28"/>
              </w:rPr>
            </w:pPr>
          </w:p>
        </w:tc>
      </w:tr>
      <w:tr w14:paraId="4FDA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8612CB9">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26A1162D">
            <w:pPr>
              <w:snapToGrid w:val="0"/>
              <w:rPr>
                <w:rFonts w:ascii="华文中宋" w:hAnsi="华文中宋" w:eastAsia="华文中宋"/>
                <w:color w:val="000000"/>
                <w:sz w:val="28"/>
                <w:szCs w:val="28"/>
              </w:rPr>
            </w:pPr>
          </w:p>
        </w:tc>
        <w:tc>
          <w:tcPr>
            <w:tcW w:w="981" w:type="dxa"/>
            <w:vAlign w:val="center"/>
          </w:tcPr>
          <w:p w14:paraId="1F8CD0F4">
            <w:pPr>
              <w:snapToGrid w:val="0"/>
              <w:rPr>
                <w:rFonts w:ascii="华文中宋" w:hAnsi="华文中宋" w:eastAsia="华文中宋"/>
                <w:color w:val="000000"/>
                <w:sz w:val="28"/>
                <w:szCs w:val="28"/>
              </w:rPr>
            </w:pPr>
          </w:p>
        </w:tc>
        <w:tc>
          <w:tcPr>
            <w:tcW w:w="992" w:type="dxa"/>
            <w:vAlign w:val="center"/>
          </w:tcPr>
          <w:p w14:paraId="7B28DB1D">
            <w:pPr>
              <w:snapToGrid w:val="0"/>
              <w:rPr>
                <w:rFonts w:ascii="华文中宋" w:hAnsi="华文中宋" w:eastAsia="华文中宋"/>
                <w:color w:val="000000"/>
                <w:sz w:val="28"/>
                <w:szCs w:val="28"/>
              </w:rPr>
            </w:pPr>
          </w:p>
        </w:tc>
        <w:tc>
          <w:tcPr>
            <w:tcW w:w="1559" w:type="dxa"/>
            <w:vAlign w:val="center"/>
          </w:tcPr>
          <w:p w14:paraId="00DA18F6">
            <w:pPr>
              <w:snapToGrid w:val="0"/>
              <w:rPr>
                <w:rFonts w:ascii="华文中宋" w:hAnsi="华文中宋" w:eastAsia="华文中宋"/>
                <w:color w:val="000000"/>
                <w:sz w:val="28"/>
                <w:szCs w:val="28"/>
              </w:rPr>
            </w:pPr>
          </w:p>
        </w:tc>
        <w:tc>
          <w:tcPr>
            <w:tcW w:w="996" w:type="dxa"/>
            <w:vAlign w:val="center"/>
          </w:tcPr>
          <w:p w14:paraId="607AF27A">
            <w:pPr>
              <w:snapToGrid w:val="0"/>
              <w:rPr>
                <w:rFonts w:ascii="华文中宋" w:hAnsi="华文中宋" w:eastAsia="华文中宋"/>
                <w:color w:val="000000"/>
                <w:sz w:val="28"/>
                <w:szCs w:val="28"/>
              </w:rPr>
            </w:pPr>
          </w:p>
        </w:tc>
        <w:tc>
          <w:tcPr>
            <w:tcW w:w="942" w:type="dxa"/>
            <w:vAlign w:val="center"/>
          </w:tcPr>
          <w:p w14:paraId="4766A175">
            <w:pPr>
              <w:snapToGrid w:val="0"/>
              <w:rPr>
                <w:rFonts w:ascii="华文中宋" w:hAnsi="华文中宋" w:eastAsia="华文中宋"/>
                <w:color w:val="000000"/>
                <w:sz w:val="28"/>
                <w:szCs w:val="28"/>
              </w:rPr>
            </w:pPr>
          </w:p>
        </w:tc>
      </w:tr>
      <w:tr w14:paraId="2CD7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9EC3983">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14:paraId="3779A031">
            <w:pPr>
              <w:snapToGrid w:val="0"/>
              <w:rPr>
                <w:rFonts w:ascii="华文中宋" w:hAnsi="华文中宋" w:eastAsia="华文中宋"/>
                <w:color w:val="000000"/>
                <w:sz w:val="28"/>
                <w:szCs w:val="28"/>
              </w:rPr>
            </w:pPr>
          </w:p>
        </w:tc>
        <w:tc>
          <w:tcPr>
            <w:tcW w:w="981" w:type="dxa"/>
            <w:vAlign w:val="center"/>
          </w:tcPr>
          <w:p w14:paraId="5D50D89C">
            <w:pPr>
              <w:snapToGrid w:val="0"/>
              <w:rPr>
                <w:rFonts w:ascii="华文中宋" w:hAnsi="华文中宋" w:eastAsia="华文中宋"/>
                <w:color w:val="000000"/>
                <w:sz w:val="28"/>
                <w:szCs w:val="28"/>
              </w:rPr>
            </w:pPr>
          </w:p>
        </w:tc>
        <w:tc>
          <w:tcPr>
            <w:tcW w:w="992" w:type="dxa"/>
            <w:vAlign w:val="center"/>
          </w:tcPr>
          <w:p w14:paraId="18863679">
            <w:pPr>
              <w:snapToGrid w:val="0"/>
              <w:rPr>
                <w:rFonts w:ascii="华文中宋" w:hAnsi="华文中宋" w:eastAsia="华文中宋"/>
                <w:color w:val="000000"/>
                <w:sz w:val="28"/>
                <w:szCs w:val="28"/>
              </w:rPr>
            </w:pPr>
          </w:p>
        </w:tc>
        <w:tc>
          <w:tcPr>
            <w:tcW w:w="1559" w:type="dxa"/>
            <w:vAlign w:val="center"/>
          </w:tcPr>
          <w:p w14:paraId="01A09535">
            <w:pPr>
              <w:snapToGrid w:val="0"/>
              <w:rPr>
                <w:rFonts w:ascii="华文中宋" w:hAnsi="华文中宋" w:eastAsia="华文中宋"/>
                <w:color w:val="000000"/>
                <w:sz w:val="28"/>
                <w:szCs w:val="28"/>
              </w:rPr>
            </w:pPr>
          </w:p>
        </w:tc>
        <w:tc>
          <w:tcPr>
            <w:tcW w:w="996" w:type="dxa"/>
            <w:vAlign w:val="center"/>
          </w:tcPr>
          <w:p w14:paraId="088EB355">
            <w:pPr>
              <w:snapToGrid w:val="0"/>
              <w:rPr>
                <w:rFonts w:ascii="华文中宋" w:hAnsi="华文中宋" w:eastAsia="华文中宋"/>
                <w:color w:val="000000"/>
                <w:sz w:val="28"/>
                <w:szCs w:val="28"/>
              </w:rPr>
            </w:pPr>
          </w:p>
        </w:tc>
        <w:tc>
          <w:tcPr>
            <w:tcW w:w="942" w:type="dxa"/>
            <w:vAlign w:val="center"/>
          </w:tcPr>
          <w:p w14:paraId="5662AB4B">
            <w:pPr>
              <w:snapToGrid w:val="0"/>
              <w:rPr>
                <w:rFonts w:ascii="华文中宋" w:hAnsi="华文中宋" w:eastAsia="华文中宋"/>
                <w:color w:val="000000"/>
                <w:sz w:val="28"/>
                <w:szCs w:val="28"/>
              </w:rPr>
            </w:pPr>
          </w:p>
        </w:tc>
      </w:tr>
    </w:tbl>
    <w:p w14:paraId="6F4EEB0F">
      <w:pPr>
        <w:jc w:val="cente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工人日报报送【系列报道】竞业限制滥用现象调查</w:t>
      </w:r>
    </w:p>
    <w:p w14:paraId="5922C348">
      <w:pPr>
        <w:jc w:val="cente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三篇代表作文字稿</w:t>
      </w:r>
    </w:p>
    <w:p w14:paraId="12B696AC">
      <w:pP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代表作一：</w:t>
      </w:r>
    </w:p>
    <w:p w14:paraId="4B873E2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【竞业限制滥用现象调查②】“签完竞业协议，感觉像被全行业‘封杀’了”</w:t>
      </w:r>
    </w:p>
    <w:p w14:paraId="0BB2E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本报记者 陈丹丹</w:t>
      </w:r>
    </w:p>
    <w:p w14:paraId="343F4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《工人日报》（2024年11月04日 06版）</w:t>
      </w:r>
    </w:p>
    <w:p w14:paraId="3B84B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rPr>
      </w:pPr>
    </w:p>
    <w:p w14:paraId="195D49F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“签完竞业协议，感觉像被全行业‘封杀’了。”在北京一家互联网企业工作的刘鹏，原本准备在今年年底跳槽。然而，重新翻看入职时签订的竞业协议后，密密麻麻的限制条款，让他的想法有些动摇。</w:t>
      </w:r>
    </w:p>
    <w:p w14:paraId="26CB519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注意到，本意为保护用人单位商业机密、防止竞争企业“搭便车”的竞业协议，近年来逐渐呈现出滥用和泛化趋势，所涉行业与企业范围出现了模糊不清、随意扩大等现象。某互联网企业一位从业10余年的HR向记者透露：“在协议中尽可能地扩大竞争企业范围，目前在业内已经比较普遍。”</w:t>
      </w:r>
    </w:p>
    <w:p w14:paraId="1082253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在此情形下，一些“背着”竞业协议离职的劳动者，不得不放弃在熟悉领域的经验与机会，职业发展甚至陷入停滞。</w:t>
      </w:r>
    </w:p>
    <w:p w14:paraId="5A3555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一些竞业限制范围过于宽泛</w:t>
      </w:r>
    </w:p>
    <w:p w14:paraId="7B02B4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划定竞争企业范围的条款中，‘包括但不限于’是很常见的内容。”本科毕业后，刘鹏先后换了3份工作，岗位涉及电商直播、在线教育等领域，均与互联网关联密切，“每换新工作时，都被要求签竞业协议。”</w:t>
      </w:r>
    </w:p>
    <w:p w14:paraId="516E087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某知名互联网企业HR艾米告诉记者，在此类协议中，“罗列+兜底”是设置竞争企业范围的常见方式，“部分企业设定的竞业限制范围较为模糊，约定不明”。</w:t>
      </w:r>
    </w:p>
    <w:p w14:paraId="34651B8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梳理竞业限制相关公开案件发现，竞争企业范围是否合理是多起案件的争议焦点，一些用人单位要求劳动者竞业限制期内不得进入“同一行业”“类似企业”。同时，以过长的清单罗列具体用人单位，竞业限制范围过广的情况同样广受诟病。</w:t>
      </w:r>
    </w:p>
    <w:p w14:paraId="607BC8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宏帆从北京一家科技公司离职后，入职某互联网企业。不久后，他被前东家追索竞业限制违约金23万余元，双方产生争议并诉至法院。在竞业协议中，该科技公司列举了80多家竞争企业。宏帆认为，这几乎涵盖了他能就职的所有互联网公司，侵犯了他自主择业、正当就业的权利。</w:t>
      </w:r>
    </w:p>
    <w:p w14:paraId="5DF45E1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此外，一些企业认为仅限制同类企业不足以满足其保密需求，遂把范围扩大至关联方经营范围。在广州市中级人民法院2021年审结的一起案件中，法院判决原用人单位设定的竞业限制涉及关联方，范围过于宽泛且不清，过度剥夺劳动者就业机会，故约定无效。</w:t>
      </w:r>
    </w:p>
    <w:p w14:paraId="39D9786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近年来，涉竞业限制纠纷的行业范围日益广泛。2024年全国两会期间，最高人民法院民事审判第一庭庭长陈宜芳曾表示，涉竞业限制的争议主要分布于计算机、互联网和教育培训行业。有学者在专业法律数据库中选取2021年至2023年间共319份竞业限制相关案件分析发现，医院、传媒公司、食品公司等是竞业限制纠纷多发的单位。</w:t>
      </w:r>
    </w:p>
    <w:p w14:paraId="5E64FED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如何判定是否构成竞争关系？</w:t>
      </w:r>
    </w:p>
    <w:p w14:paraId="3C16AEC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让刘鹏困惑的是，对于劳动者入职的不同企业来说，怎样才算构成竞争关系？</w:t>
      </w:r>
    </w:p>
    <w:p w14:paraId="5C6BF50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刘鹏近几年一直在互联网企业工作，干过直播运营、电商主播和在线教育3份工作，内容基本没有重合，业务重点也存在差异，“但3家企业提供的竞业协议中，彼此都算竞争关系，相互都被列入了竞业限制范围”。</w:t>
      </w:r>
    </w:p>
    <w:p w14:paraId="2B0FFCC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“对于很多企业来说，竞业协议是为了限制员工流动，或是达到所谓的‘震慑’效果。”担任某互联网企业HR的李雪坦言，“企业那么多，怎么可能一个个认定有没有竞争关系呢？”</w:t>
      </w:r>
    </w:p>
    <w:p w14:paraId="2469AF3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“滥用竞业协议不仅侵害劳动者的自主择业权，导致人力资本浪费，同时影响人才流动和创新。”首都经济贸易大学劳动经济学院教授范围表示。</w:t>
      </w:r>
    </w:p>
    <w:p w14:paraId="192CCE4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国劳动关系学院工会学院副教授范丽娜指出，司法实践中，判定企业间是否存在竞争关系，通常存在两类审查标准：一类是形式审查标准，即若两家企业营业执照登记的经营范围存在重合，就可认定二者存在竞争关系；另一类为实质审查标准，从两家企业实际经营的内容是否重合等多角度进行具体审查。</w:t>
      </w:r>
    </w:p>
    <w:p w14:paraId="6CC9C50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范丽娜认为，前者易造成“竞争关系”范围的扩张，限制择业自由，后者则是将范围限定在合理限度，有利于实现双方利益的平衡。</w:t>
      </w:r>
    </w:p>
    <w:p w14:paraId="4BF6ED1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辽宁大学法学院教授王素芬表示，应具体衡量劳动者所从事工作的岗位业务在前后两个企业间是否存在竞争关系。“即便两个企业在业务上存在竞争关系，但劳动者在不同企业之间所从事的工作内容完全不同，岗位之间没有商业秘密或技术秘密的共享与竞争，也不应认定劳动者违反竞业限制协议。”</w:t>
      </w:r>
    </w:p>
    <w:p w14:paraId="5EDF017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界定竞争关系需要更精细的标准指引</w:t>
      </w:r>
    </w:p>
    <w:p w14:paraId="63484F3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范围表示，从实践来看，竞争关系的确立通常采取“菜单式”，即根据行业、实际业务以及经营营收等诸多标准，合理选取数家用人单位作为不得入职的竞争企业，“竞争关系的界定需要更加精细的标准指引。”</w:t>
      </w:r>
    </w:p>
    <w:p w14:paraId="09D0CCB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黄某于2020年入职一家互联网公司，做对接医美业务的商务运营，并与该公司签订竞业限制协议。2023年5月，黄某离职，1个月后入职另一家互联网公司，从事业务推广。同为互联网企业，前公司经营医美平台，现公司经营新闻咨询平台。前公司由此提出仲裁申请，请求黄某返还竞业限制经济补偿及支付违反竞业限制违约金。</w:t>
      </w:r>
    </w:p>
    <w:p w14:paraId="5A37D9E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考虑到互联网企业注册登记时，经营范围往往包含了互联网信息服务、技术服务、技术开发等，如仅以此为据，显然会对从业人员再就业造成障碍，加上两家公司实际经营内容和受众群体存在较大差异等因素，仲裁委未支持黄某前公司的请求。</w:t>
      </w:r>
    </w:p>
    <w:p w14:paraId="2B13B35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杭州市上城区劳动人事争议仲裁院金珊认为，应当本着审慎的态度来审查劳动者新用人单位与原用人单位之间是否形成竞争关系，尤其是互联网企业工商登记的经营范围往往较为宽泛、涉及领域众多且重合度较高，不应仅从依法登记的经营范围是否重合进行形式审查，还应当结合实际业务经营情况、服务对象或者产品受众、对应市场等方面是否重合进行实质判断。</w:t>
      </w:r>
    </w:p>
    <w:p w14:paraId="5B4F938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若劳动者因竞业限制范围过大而无法正常入职新单位，王素芬建议，依据“高限制、高补偿”的比例原则，劳动者应向用人单位申请支付更高标准的竞业限制补偿金。同时，可以申请协议的竞业范围条款因排除或限制劳动者的权益而无效，从而实现再就业并保障基本生存权。</w:t>
      </w:r>
    </w:p>
    <w:p w14:paraId="4248AF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李雪建议，劳动者在离职前后，可以尝试与原用人单位理性沟通竞业事宜，争取以“和平方式”达成一致意见，以减少时间和精力成本。（部分受访者为化名）</w:t>
      </w:r>
    </w:p>
    <w:p w14:paraId="6A8F2DB1">
      <w:pPr>
        <w:rPr>
          <w:rFonts w:hint="eastAsia" w:ascii="仿宋" w:hAnsi="仿宋" w:eastAsia="仿宋" w:cs="仿宋"/>
          <w:b w:val="0"/>
          <w:bCs w:val="0"/>
          <w:sz w:val="28"/>
          <w:szCs w:val="28"/>
          <w:lang w:val="en-US" w:eastAsia="zh-CN"/>
        </w:rPr>
      </w:pPr>
    </w:p>
    <w:p w14:paraId="696E9EAF">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代表作二：</w:t>
      </w:r>
    </w:p>
    <w:p w14:paraId="2CC91A4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p>
    <w:p w14:paraId="4C87A6C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每月补偿1700元，违约要赔100万元</w:t>
      </w:r>
    </w:p>
    <w:p w14:paraId="6ADE66D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【竞业限制滥用现象调查③】补少赔多，如此竞业限制公平吗？</w:t>
      </w:r>
    </w:p>
    <w:p w14:paraId="0EF01E4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李润钊</w:t>
      </w:r>
    </w:p>
    <w:p w14:paraId="27A7E1B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《工人日报》（2024年11月11日 06版）</w:t>
      </w:r>
    </w:p>
    <w:p w14:paraId="34B7017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离职前年薪20万元，离职后补偿金为每月1700元，而索赔的违约金却高达100万元，范文涛和前东家因竞业限制引发的纠纷，让他苦不堪言。</w:t>
      </w:r>
    </w:p>
    <w:p w14:paraId="7AEA897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为照顾罹患重症的父亲，范文涛选择“降薪跳槽”，回山东老家从事动力电芯开发的技术支持工作，月薪约9300元。而让前东家从福建跨越1500多公里来追责的，是范文涛在当年入职时签署的一份长达十多页的竞业限制协议。</w:t>
      </w:r>
    </w:p>
    <w:p w14:paraId="51A4F96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根据规定，对负有保密义务的劳动者，用人单位应在竞业限制期限内按月给予劳动者经济补偿。劳动者违反竞业限制约定的，应当按照约定向用人单位支付违约金。然而，一些用人单位提供过低的补偿金、要求过高的违约金，让不少劳动者直呼不合理。</w:t>
      </w:r>
    </w:p>
    <w:p w14:paraId="739406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补偿金过低，违约金过高</w:t>
      </w:r>
    </w:p>
    <w:p w14:paraId="46EFD16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在范文涛签署的竞业限制协议的附件里，有一份超过50家新能源企业的名单。他不得在竞业限制期限内入职名单中的企业。而范文涛的新东家则是其中一家企业的设备供应商。</w:t>
      </w:r>
    </w:p>
    <w:p w14:paraId="7553803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前东家眼中，范文涛每月领着竞业限制补偿金，理应依法履约，企业启动竞业限制、申请仲裁是为了保护核心技术。而范文涛则认为，自己入职的只是被限制企业的供应商，应不属于竞业限制范围内的企业，且每月1700元的补偿金不足以支撑其日常开销。他感叹道：“没想到曾经签订的竞业限制协议，成了职业发展的障碍。”</w:t>
      </w:r>
    </w:p>
    <w:p w14:paraId="0D64FE7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北京市海淀区劳动人事争议仲裁院院长韩晋指出，目前，竞业限制下补偿金额存在畸低的现象。他在实际工作中发现，42%的用人单位约定补偿金为在职期间月工资的30%，仅有2.12%的用人单位约定为在职期间月工资的50%，更有以基本工资的30%约定补偿金的情形，折算金额甚至低于当地最低工资标准。这不能满足劳动者的基本生存需要，更不用说顾及劳动者职业发展前景。</w:t>
      </w:r>
    </w:p>
    <w:p w14:paraId="16392D9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记者梳理竞业限制相关劳动争议发现，与竞业限制补偿金过低并存的，是一些用人单位要求劳动者支付过高的违约金。</w:t>
      </w:r>
    </w:p>
    <w:p w14:paraId="1DD9782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郭某于2021年入职某科技公司，担任商业分析师，离职前12个月固定总收入约60万元，双方签订竞业限制协议，约定竞业限制补偿金为郭某解除前每月固定工资的30%。双方解除劳动合同时，约定竞业限制期限为6个月，违约金为郭某离职前税前年薪的5倍。</w:t>
      </w:r>
    </w:p>
    <w:p w14:paraId="4A7F631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合同解除后，郭某入职与某科技公司存在竞争关系的公司。科技公司提出仲裁申请，请求支付竞业限制违约金300万元。仲裁委员会认为，结合郭某在科技公司解除前的税前收入及实际情况，科技公司约定的违约金数额过高，酌定郭某支付违约金90万元。</w:t>
      </w:r>
    </w:p>
    <w:p w14:paraId="24E6374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缺乏限制性规定</w:t>
      </w:r>
    </w:p>
    <w:p w14:paraId="213D78A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就竞业限制补偿金和违约金的标准，记者采访了福建省法学会劳动法学研究会理事方维忠。</w:t>
      </w:r>
    </w:p>
    <w:p w14:paraId="20444FD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目前，关于竞业限制补偿金，按照最高人民法院的司法解释，用工双方有约定的情况下依约定。若无约定，在劳动者履行了竞业限制义务前提下，劳动者可以要求原工资的30%作为补偿金。而违约金，则没有限制性规定，主要看双方约定。”方维忠介绍。</w:t>
      </w:r>
    </w:p>
    <w:p w14:paraId="3BAE0F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由于缺乏限制性规定，一些用人单位在与劳动者签订竞业限制协议时，往往出于震慑或惩戒的目的，设定高额违约金，有的金额为劳动者收入的十倍至几十倍不等。</w:t>
      </w:r>
    </w:p>
    <w:p w14:paraId="4366BB6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从事设计开发工作的李志峰曾因管理的车间技工流失率高于标准值被迫离职。离职前，因HR称不签竞业限制协议启动确认书，就不给开离职证明，李志峰不得不在确认书上签字，约定违约金为他年收入的10倍。</w:t>
      </w:r>
    </w:p>
    <w:p w14:paraId="63A4231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离职后，李志峰入职一家不在竞业限制协议清单中的初创企业，前东家以其违反了竞业协议为由申请劳动仲裁。仲裁过程中，李志峰反复提到了“被迫竞业”的经历，但由于无法出具录音和其他实质性证据而败诉。</w:t>
      </w:r>
    </w:p>
    <w:p w14:paraId="48A3FA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“职工以‘被胁迫’为由要求撤销竞业协议，举证难度巨大，常常处于劣势地位，很难得到司法认定与支持。大多数司法实践依然会以形式上的合同约定为优先级。”方维忠表示。</w:t>
      </w:r>
    </w:p>
    <w:p w14:paraId="4651B90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来自北京市朝阳区劳动人事争议仲裁院的李妍认为，劳动合同法规定，用人单位与劳动者可以约定竞业限制条款，并对竞业限制的范围、地域、期限及违约金的约定赋予双方一定自主权，目的是维护良好的用工环境。</w:t>
      </w:r>
    </w:p>
    <w:p w14:paraId="0074D2D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法律制定的角度来看，违约金应以补偿为主、惩罚为辅。”李妍认为，为明确各自的权利义务，双方应就违反竞业限制违约金的标准进行明确约定。但违约金标准约定过高，可能会失去公平，造成劳动者负担过重而无法履约，违约金标准约定过低，则可能无法达到其设立的目的。</w:t>
      </w:r>
    </w:p>
    <w:p w14:paraId="0A32E70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应注重利益均衡及公平原则</w:t>
      </w:r>
    </w:p>
    <w:p w14:paraId="653558E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对于劳动者而言，只有在因用人单位的原因导致3个月未支付经济补偿时，劳动者才可以请求解除竞业限制协议。</w:t>
      </w:r>
    </w:p>
    <w:p w14:paraId="4E9A58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韩晋提出，在对劳动者生存条件造成减损的情况下，是否可明确规定认定竞业限制条款的无效。在竞业限制补偿约定过低的情况下，可否有限度地对此进行干预，弥补劳动者因遵守竞业限制协议而遭受的经济损失，从而更好地实现竞业限制的制度意义。</w:t>
      </w:r>
    </w:p>
    <w:p w14:paraId="06F81CD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至于违约金的设定标准，李妍认为，应当结合劳动者月工资标准、竞业限制补偿的金额及损失情况等慎重考虑，注重利益均衡及公平原则，避免约定标准过高或过低。</w:t>
      </w:r>
    </w:p>
    <w:p w14:paraId="2E78AE3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在韩晋看来，应在一定幅度范围内对违约金金额予以规范。劳动者违反竞业限制义务要承担的违约赔偿责任，不应该以用人单位遭受实际损失为前提条件，因为商业秘密被侵犯后造成的无形财产无法估量。</w:t>
      </w:r>
    </w:p>
    <w:p w14:paraId="7F4D68A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同时，在认定违约金金额时，应考虑劳动者获得的经济补偿与承担的违约责任，二者金额是否大体相当，双方权利义务是否对等、是否存在明显失衡等情形。此外，要考虑劳动者的经济承受能力，如明显超过其经济承受能力，并可能导致其生活陷入困难，则超过了合理幅度。</w:t>
      </w:r>
    </w:p>
    <w:p w14:paraId="750C67F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方维忠提醒劳动者，与用人单位签订竞业限制协议时，应认真阅读与补偿金、违约金相关的条款，对于权利义务不明确的条款，可以要求用人单位予以明确或解释，并慎重签署协议。（部分受访者为化名）</w:t>
      </w:r>
    </w:p>
    <w:p w14:paraId="78FB316B">
      <w:pPr>
        <w:rPr>
          <w:rFonts w:hint="eastAsia" w:ascii="仿宋" w:hAnsi="仿宋" w:eastAsia="仿宋" w:cs="仿宋"/>
          <w:b w:val="0"/>
          <w:bCs w:val="0"/>
          <w:sz w:val="28"/>
          <w:szCs w:val="28"/>
          <w:lang w:val="en-US" w:eastAsia="zh-CN"/>
        </w:rPr>
      </w:pPr>
    </w:p>
    <w:p w14:paraId="143F2A0E">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代表作三：</w:t>
      </w:r>
    </w:p>
    <w:p w14:paraId="1C9FB03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被滥用的竞业限制不仅损害职工合法权益，也对劳动力市场的公平竞争秩序造成破坏，阻碍人才流动——</w:t>
      </w:r>
    </w:p>
    <w:p w14:paraId="478EF0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【竞业限制滥用现象调查⑤】完善规则，别让竞业限制成为“就业限制”</w:t>
      </w:r>
    </w:p>
    <w:p w14:paraId="0DFCDFE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张菁</w:t>
      </w:r>
    </w:p>
    <w:p w14:paraId="42A7873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b w:val="0"/>
          <w:bCs w:val="0"/>
          <w:sz w:val="28"/>
          <w:szCs w:val="28"/>
        </w:rPr>
      </w:pPr>
      <w:r>
        <w:rPr>
          <w:rFonts w:hint="eastAsia" w:ascii="华文中宋" w:hAnsi="华文中宋" w:eastAsia="华文中宋" w:cs="华文中宋"/>
          <w:b w:val="0"/>
          <w:bCs w:val="0"/>
          <w:sz w:val="28"/>
          <w:szCs w:val="28"/>
          <w:lang w:val="en-US" w:eastAsia="zh-CN"/>
        </w:rPr>
        <w:t>《工人日报》（2024年11月25日 06版）</w:t>
      </w:r>
      <w:r>
        <w:rPr>
          <w:rFonts w:hint="eastAsia" w:ascii="微软雅黑" w:hAnsi="微软雅黑" w:eastAsia="微软雅黑" w:cs="微软雅黑"/>
          <w:b w:val="0"/>
          <w:bCs w:val="0"/>
          <w:i w:val="0"/>
          <w:iCs w:val="0"/>
          <w:caps w:val="0"/>
          <w:color w:val="333333"/>
          <w:spacing w:val="0"/>
          <w:sz w:val="28"/>
          <w:szCs w:val="28"/>
          <w:shd w:val="clear" w:fill="FFFFFF"/>
        </w:rPr>
        <w:t>　</w:t>
      </w:r>
    </w:p>
    <w:p w14:paraId="3A5218A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“实习生、厨师也被竞业”“签完竞业协议，感觉像被全行业‘封杀’了”“每月补偿1700元，违约要赔100万元”……连日来，《工人日报》连续报道竞业限制滥用现象，引发社会广泛关注和讨论。</w:t>
      </w:r>
    </w:p>
    <w:p w14:paraId="592BBD9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竞业限制本是一个商业秘密保护规则，当前为何被一些企业无限泛化，甚至阻碍了人才的合理流动？完善竞业限制的规则和适用条件，让其回归本位，已成为亟待解决的问题。</w:t>
      </w:r>
    </w:p>
    <w:p w14:paraId="3E3F99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竞业限制成了“就业限制”</w:t>
      </w:r>
    </w:p>
    <w:p w14:paraId="007F1E7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根据劳动合同法，用人单位与劳动者可以在劳动合同中约定保守用人单位的商业秘密和与知识产权相关的保密事项。</w:t>
      </w:r>
    </w:p>
    <w:p w14:paraId="4F3708B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作为保护用人单位商业秘密的正当手段，竞业限制制度有其存在的必要性。”中国社会科学院法学研究所研究员王天玉介绍说，竞业限制的本质是保密制度，防止与用人单位存在竞争关系的单位或个人通过“挖人”或“自立门户”获得不正当利益。</w:t>
      </w:r>
    </w:p>
    <w:p w14:paraId="49A4ECB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然而，近年来，高新科技企业与其离职职工的竞业限制纠纷频发。自2019年起，上海、北京、苏州等地法院和仲裁院发布的涉竞业限制纠纷案件审判的白皮书或调研报告中，均重点提及了竞业限制泛化的现象。</w:t>
      </w:r>
    </w:p>
    <w:p w14:paraId="6AA7115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苏州法院近6年的审判数据进行分析发现，泛化突出体现在主体、地域和期限。”苏州市中级人民法院发布的竞业限制白皮书显示，主体方面表现为普通劳动者被框进“其他负有保密义务的人员”的范畴。地域方面，有的协议约定限制范围包括用人单位的所有关联企业，甚至行业上下游所有公司。期限方面，用人单位对劳动者岗位种类、工作性质等不加区分，均按最高限约定两年的竞业限制期限，这类案件超过70%。</w:t>
      </w:r>
    </w:p>
    <w:p w14:paraId="61BE6AA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苏州中院的白皮书显示，实践中出现的“约定劳动者享有竞业限制经济补偿为每月1220元，违约金却高达100万元”这类案件，客观反映出企业和劳动者的地位失衡。</w:t>
      </w:r>
    </w:p>
    <w:p w14:paraId="322E04A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是普通岗位，很少接触核心机密”“签竞业限制协议的时间点通常在入职、晋升等节点，劳动者很难说‘不’”“被竞业后只能转行，否则要承担巨额违约金”……不少劳动者表示，竞业限制俨然成了就业限制，期待破局。</w:t>
      </w:r>
    </w:p>
    <w:p w14:paraId="45EDD4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法律对“秘密”和“竞争”规定较简略</w:t>
      </w:r>
    </w:p>
    <w:p w14:paraId="584F98F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企业只有出于保护自身商业秘密的目的时，使用竞业限制的行为才具有正当性。”上海财经大学法学院教授吴文芳表示，当前，竞业限制制度越来越多地被企业用作维护人才竞争优势的武器，防止职工流向竞争对手，背离了制度设计的初衷。</w:t>
      </w:r>
    </w:p>
    <w:p w14:paraId="54AF67F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秘密’与‘竞争’是竞业限制的两个核心要素，对这两个概念的解释也就决定了竞业限制的边界。”王天玉解释说，现行法律对“秘密”和“竞争”的规定都比较简略，缺乏限定，“这就使得用人单位对‘什么是秘密’有很大的决定权。随着‘秘密’范围的扩大，‘其他负有保密义务的人员’也必然扩大，这就导致了‘全员竞业’现象的出现。”</w:t>
      </w:r>
    </w:p>
    <w:p w14:paraId="100C005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竞争’同样缺乏限定，如果依据‘经营范围’判断，在工商业领域尚且可行，但在各公司经营范围基本重合的互联网行业显然不合时宜。”王天玉说，这会导致劳动者与任一公司签订竞业限制协议后就无法在全行业就业。</w:t>
      </w:r>
    </w:p>
    <w:p w14:paraId="3773A14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近日有关方面召开的劳动争议前沿问题研讨会上，专业人士围绕竞业限制议题各抒己见。谈到制约当前竞业限制争议案件审理的难点，杭州市余杭区人社局副局长缪建宏介绍，隐秘拍摄视频、社交平台信息等新型证据逐渐成为这类案件的主要证据形式，但这类证据确认标准不一致导致事实认定难度较大。此外，还存在办案裁量标准不一致、涉案双方理解不一致导致调解难度较大等问题。</w:t>
      </w:r>
    </w:p>
    <w:p w14:paraId="68B8636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吴文芳表示，竞业限制制度滥用的一大原因就在于，企业适用制度的成本过低，这与职工负担竞业限制义务时的高昂代价形成了鲜明对比，“被滥用的竞业限制不仅会损害职工的合法权益，也会对劳动力市场的公平竞争秩序造成破坏，阻碍人才的社会性流动。”</w:t>
      </w:r>
    </w:p>
    <w:p w14:paraId="09C866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建议提升竞业限制的适用成本</w:t>
      </w:r>
    </w:p>
    <w:p w14:paraId="7E8D3E8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既然是保护商业秘密，就要让竞业限制回归商业规则。”王天玉建议，将适用对象以列举的方式限定为公司高级管理人员和高级技术人员，不应该把普通劳动者作为竞业限制的适用对象，这样能形成倒逼机制，让企业去完善内部治理，“给大量普通劳动者松绑”。</w:t>
      </w:r>
    </w:p>
    <w:p w14:paraId="17D1D40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吴文芳认为，要通过提升竞业限制的适用成本来防范制度滥用对人才竞争秩序的扰乱。应提升经济补偿金的支付标准、严格其履行要求，使企业在使用竞业限制时充分衡量是否必要。</w:t>
      </w:r>
    </w:p>
    <w:p w14:paraId="6A9BC60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苏州中院发布的白皮书建议，强化竞业限制的主体审查及用人单位对商业秘密的说明义务，合理确定违约金调整规则，调整违约金要综合考虑劳动者的收入水平、违约形态等。</w:t>
      </w:r>
    </w:p>
    <w:p w14:paraId="2D97F2C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者与用人单位因竞业限制协议的履行产生劳动争议的，可以与用人单位协商，也可以请工会或第三方共同协商，达成和解协议。”人社部调解仲裁管理司有关负责人提示劳动者，协商不成可以向调解组织申请调解；调解不成可以向劳动人事争议仲裁委员会申请仲裁；对仲裁裁决不服的，还可以向法院提起诉讼。</w:t>
      </w:r>
    </w:p>
    <w:p w14:paraId="48132DF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近年来，仲裁和司法实践密切关注竞业限制问题，试图在职工权益与企业利益间寻找平衡。该负责人介绍，各地仲裁机构严格根据法律政策规定并结合案情判断竞业限制人员主体是否适格、竞业行业企业范围是否合理等情况，防止竞业限制协议被滥用，充分保护劳动者合法权益。</w:t>
      </w:r>
    </w:p>
    <w:p w14:paraId="022BEE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缪建宏介绍，为妥善处理竞业限制类劳动争议案件，仲裁委审理案件时会进行较为细致地审查，避免竞业限制约定的滥用。同时，聚焦举证责任分配以及违约责任评判，作出公平公正、平衡平等的裁量。</w:t>
      </w:r>
    </w:p>
    <w:p w14:paraId="2ADCB72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北京市海淀区劳动人事争议仲裁院韩晋表示，实践中，该院注重“抓前端、治未病”，开展法律大讲堂、公开庭等活动，加强相关指导。同时，鼓励和解，指导用人单位与劳动者建立多种方式的对话沟通渠道。</w:t>
      </w:r>
    </w:p>
    <w:p w14:paraId="79B172F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lang w:val="en-US" w:eastAsia="zh-CN"/>
        </w:rPr>
      </w:pPr>
      <w:r>
        <w:rPr>
          <w:rFonts w:hint="eastAsia" w:asciiTheme="minorEastAsia" w:hAnsiTheme="minorEastAsia" w:eastAsiaTheme="minorEastAsia" w:cstheme="minorEastAsia"/>
          <w:b w:val="0"/>
          <w:bCs w:val="0"/>
          <w:sz w:val="28"/>
          <w:szCs w:val="28"/>
        </w:rPr>
        <w:t>“如果双方当事人认为自身权益受到损害的，应当及时留存与竞业限制协议有关的各类书证、物证、视听资料及电子数据等，以作为今后依法维权的证据材料。”人社部调解仲裁管理司有关负责人说。</w:t>
      </w:r>
    </w:p>
    <w:p w14:paraId="13087C11">
      <w:pPr>
        <w:widowControl/>
        <w:jc w:val="left"/>
        <w:rPr>
          <w:rFonts w:ascii="楷体" w:hAnsi="楷体" w:eastAsia="楷体"/>
          <w:b w:val="0"/>
          <w:bCs w:val="0"/>
          <w:color w:val="000000"/>
          <w:sz w:val="28"/>
          <w:szCs w:val="28"/>
        </w:rPr>
      </w:pP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5027C66D">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eastAsia="仿宋"/>
        <w:sz w:val="24"/>
      </w:rPr>
    </w:sdtEndPr>
    <w:sdtContent>
      <w:p w14:paraId="163E0367">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BBE">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A3DE">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2FE128B"/>
    <w:rsid w:val="0AA1970C"/>
    <w:rsid w:val="0F7F0EA5"/>
    <w:rsid w:val="1A7CA4C8"/>
    <w:rsid w:val="1D7D5129"/>
    <w:rsid w:val="1EE367D7"/>
    <w:rsid w:val="1FBE4D8F"/>
    <w:rsid w:val="201E04FD"/>
    <w:rsid w:val="21F5921E"/>
    <w:rsid w:val="240344BC"/>
    <w:rsid w:val="27BBD431"/>
    <w:rsid w:val="29FB622F"/>
    <w:rsid w:val="2B5FF6DB"/>
    <w:rsid w:val="2BE6AC9B"/>
    <w:rsid w:val="2D8349A2"/>
    <w:rsid w:val="2DEB227C"/>
    <w:rsid w:val="2E122953"/>
    <w:rsid w:val="2EE49706"/>
    <w:rsid w:val="32E7C95C"/>
    <w:rsid w:val="37E613F9"/>
    <w:rsid w:val="37FD3078"/>
    <w:rsid w:val="37FF3550"/>
    <w:rsid w:val="37FFC416"/>
    <w:rsid w:val="3991049D"/>
    <w:rsid w:val="3AFCCEEC"/>
    <w:rsid w:val="3B6BE7B6"/>
    <w:rsid w:val="3BEA624A"/>
    <w:rsid w:val="3BFF18CE"/>
    <w:rsid w:val="3DEE90AB"/>
    <w:rsid w:val="3F77CBED"/>
    <w:rsid w:val="3F9F0BD7"/>
    <w:rsid w:val="3FDD0733"/>
    <w:rsid w:val="3FFF6105"/>
    <w:rsid w:val="467F7B33"/>
    <w:rsid w:val="46BC2DCC"/>
    <w:rsid w:val="47D45FB7"/>
    <w:rsid w:val="4B94077D"/>
    <w:rsid w:val="4E1161B7"/>
    <w:rsid w:val="4F7A1CAF"/>
    <w:rsid w:val="4FD20CC7"/>
    <w:rsid w:val="51FC00CA"/>
    <w:rsid w:val="575FFACA"/>
    <w:rsid w:val="57E3A12B"/>
    <w:rsid w:val="59BB5CD2"/>
    <w:rsid w:val="59EF3000"/>
    <w:rsid w:val="5BF5E444"/>
    <w:rsid w:val="5C1B51C1"/>
    <w:rsid w:val="5D5E7442"/>
    <w:rsid w:val="5DBF25BA"/>
    <w:rsid w:val="5DFC282D"/>
    <w:rsid w:val="5EF2E06A"/>
    <w:rsid w:val="5F7BA06F"/>
    <w:rsid w:val="5FBD86DA"/>
    <w:rsid w:val="5FFB8B9E"/>
    <w:rsid w:val="5FFEE2BA"/>
    <w:rsid w:val="67EA5618"/>
    <w:rsid w:val="69FF4692"/>
    <w:rsid w:val="6BADA4A9"/>
    <w:rsid w:val="6BE5FE68"/>
    <w:rsid w:val="6BFE9F4B"/>
    <w:rsid w:val="6BFF44CD"/>
    <w:rsid w:val="6CFE6DCE"/>
    <w:rsid w:val="6D1F0417"/>
    <w:rsid w:val="6F6D7F02"/>
    <w:rsid w:val="6F9817D4"/>
    <w:rsid w:val="6FBF90D1"/>
    <w:rsid w:val="6FDF00B9"/>
    <w:rsid w:val="6FEEA70C"/>
    <w:rsid w:val="6FF722AB"/>
    <w:rsid w:val="6FFD2893"/>
    <w:rsid w:val="6FFF0EC4"/>
    <w:rsid w:val="71BF9D52"/>
    <w:rsid w:val="71CE2C91"/>
    <w:rsid w:val="73CBDC39"/>
    <w:rsid w:val="74FFEDA3"/>
    <w:rsid w:val="75818285"/>
    <w:rsid w:val="7687338F"/>
    <w:rsid w:val="7715973E"/>
    <w:rsid w:val="773F0BA1"/>
    <w:rsid w:val="77477839"/>
    <w:rsid w:val="7770062C"/>
    <w:rsid w:val="77ED3CA0"/>
    <w:rsid w:val="77EE7B2F"/>
    <w:rsid w:val="77F9C3A4"/>
    <w:rsid w:val="77FAB11A"/>
    <w:rsid w:val="77FD29EF"/>
    <w:rsid w:val="79AAB221"/>
    <w:rsid w:val="79F7DE36"/>
    <w:rsid w:val="7A033627"/>
    <w:rsid w:val="7BF375E8"/>
    <w:rsid w:val="7BF77B80"/>
    <w:rsid w:val="7BFB777A"/>
    <w:rsid w:val="7C6FD634"/>
    <w:rsid w:val="7CFD98D0"/>
    <w:rsid w:val="7DD708D6"/>
    <w:rsid w:val="7DFA9B01"/>
    <w:rsid w:val="7DFDEA90"/>
    <w:rsid w:val="7E2E3C47"/>
    <w:rsid w:val="7E7F9694"/>
    <w:rsid w:val="7EBD4090"/>
    <w:rsid w:val="7ED31B78"/>
    <w:rsid w:val="7EDBAFF3"/>
    <w:rsid w:val="7EDBEF40"/>
    <w:rsid w:val="7EF747EC"/>
    <w:rsid w:val="7F77EEF0"/>
    <w:rsid w:val="7FAF3ABE"/>
    <w:rsid w:val="7FB7C67E"/>
    <w:rsid w:val="7FCF5F29"/>
    <w:rsid w:val="7FD7A269"/>
    <w:rsid w:val="7FEE69CC"/>
    <w:rsid w:val="7FEEFB0C"/>
    <w:rsid w:val="7FF524EE"/>
    <w:rsid w:val="876FAB3E"/>
    <w:rsid w:val="8DBFD703"/>
    <w:rsid w:val="8E6F8A08"/>
    <w:rsid w:val="8FFBAF5F"/>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BFFDB0A"/>
    <w:rsid w:val="DDF37419"/>
    <w:rsid w:val="DEBB4320"/>
    <w:rsid w:val="DEF7AEA1"/>
    <w:rsid w:val="DF3F4817"/>
    <w:rsid w:val="DFB69511"/>
    <w:rsid w:val="DFBD11DD"/>
    <w:rsid w:val="DFFF4927"/>
    <w:rsid w:val="DFFFF95E"/>
    <w:rsid w:val="E7FFFCBC"/>
    <w:rsid w:val="EBF17780"/>
    <w:rsid w:val="EC6E71D2"/>
    <w:rsid w:val="ECDFA814"/>
    <w:rsid w:val="EDFF6133"/>
    <w:rsid w:val="EF8B84FB"/>
    <w:rsid w:val="EFEF0F9F"/>
    <w:rsid w:val="F155DD4C"/>
    <w:rsid w:val="F1BF364D"/>
    <w:rsid w:val="F3BC84C4"/>
    <w:rsid w:val="F3DF9487"/>
    <w:rsid w:val="F3FA1595"/>
    <w:rsid w:val="F3FFFDB9"/>
    <w:rsid w:val="F57FDEC5"/>
    <w:rsid w:val="F5EB219A"/>
    <w:rsid w:val="F7BC5BB1"/>
    <w:rsid w:val="F7D45EF9"/>
    <w:rsid w:val="F7FB7CFB"/>
    <w:rsid w:val="F7FFBA24"/>
    <w:rsid w:val="F9DF855F"/>
    <w:rsid w:val="FAFB27BF"/>
    <w:rsid w:val="FDAF2858"/>
    <w:rsid w:val="FDB31407"/>
    <w:rsid w:val="FDC0784C"/>
    <w:rsid w:val="FDDB62E6"/>
    <w:rsid w:val="FDF707F5"/>
    <w:rsid w:val="FDFBF706"/>
    <w:rsid w:val="FDFD944F"/>
    <w:rsid w:val="FE6D64CC"/>
    <w:rsid w:val="FF5F229B"/>
    <w:rsid w:val="FF6D1282"/>
    <w:rsid w:val="FF7E87D2"/>
    <w:rsid w:val="FFAAAF4F"/>
    <w:rsid w:val="FFB71574"/>
    <w:rsid w:val="FFBE54DB"/>
    <w:rsid w:val="FFC8724E"/>
    <w:rsid w:val="FFD3D888"/>
    <w:rsid w:val="FFDF0847"/>
    <w:rsid w:val="FFF5F340"/>
    <w:rsid w:val="FFFE8DB8"/>
    <w:rsid w:val="FFFF20BA"/>
    <w:rsid w:val="FFFF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8357</Words>
  <Characters>8971</Characters>
  <Lines>102</Lines>
  <Paragraphs>28</Paragraphs>
  <TotalTime>8</TotalTime>
  <ScaleCrop>false</ScaleCrop>
  <LinksUpToDate>false</LinksUpToDate>
  <CharactersWithSpaces>9054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2025-03-16T16:15:00Z</dcterms:created>
  <dc:creator>wangyongpo</dc:creator>
  <cp:lastModifiedBy>郭丽娟</cp:lastModifiedBy>
  <cp:lastPrinted>2025-03-14T11:20:00Z</cp:lastPrinted>
  <dcterms:modified xsi:type="dcterms:W3CDTF">2025-05-12T06:26:30Z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eyJoZGlkIjoiYmRmNzU3ZTdkMzkwMDFmZTQzMTdmOGFiZTAwYzBhMTEiLCJ1c2VySWQiOiI5OTAzNjk5MDEifQ==</vt:lpwstr>
  </property>
  <property fmtid="{D5CDD505-2E9C-101B-9397-08002B2CF9AE}" pid="4" name="ICV">
    <vt:lpwstr>A49F5F5AFBB64462AB2FF590118A228D_13</vt:lpwstr>
  </property>
</Properties>
</file>