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1C93C4">
      <w:pPr>
        <w:tabs>
          <w:tab w:val="right" w:pos="8730"/>
        </w:tabs>
        <w:spacing w:line="580" w:lineRule="exact"/>
        <w:outlineLvl w:val="0"/>
        <w:rPr>
          <w:rFonts w:hint="eastAsia" w:ascii="黑体" w:hAnsi="黑体" w:eastAsia="黑体"/>
          <w:color w:val="000000"/>
          <w:szCs w:val="32"/>
          <w:lang w:val="en-US" w:eastAsia="zh-CN"/>
        </w:rPr>
      </w:pPr>
      <w:r>
        <w:rPr>
          <w:rFonts w:hint="eastAsia" w:ascii="黑体" w:hAnsi="黑体" w:eastAsia="黑体"/>
          <w:color w:val="000000"/>
          <w:szCs w:val="32"/>
        </w:rPr>
        <w:t>附件4</w:t>
      </w:r>
    </w:p>
    <w:p w14:paraId="6D5D79E7">
      <w:pPr>
        <w:spacing w:after="156" w:afterLines="50"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中国新闻奖参评作品推荐表</w:t>
      </w:r>
    </w:p>
    <w:tbl>
      <w:tblPr>
        <w:tblStyle w:val="6"/>
        <w:tblW w:w="9813" w:type="dxa"/>
        <w:tblInd w:w="-1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248"/>
        <w:gridCol w:w="264"/>
        <w:gridCol w:w="143"/>
        <w:gridCol w:w="486"/>
        <w:gridCol w:w="259"/>
        <w:gridCol w:w="1109"/>
        <w:gridCol w:w="214"/>
        <w:gridCol w:w="962"/>
        <w:gridCol w:w="43"/>
        <w:gridCol w:w="872"/>
        <w:gridCol w:w="947"/>
        <w:gridCol w:w="197"/>
        <w:gridCol w:w="423"/>
        <w:gridCol w:w="451"/>
        <w:gridCol w:w="671"/>
        <w:gridCol w:w="1532"/>
      </w:tblGrid>
      <w:tr w14:paraId="01047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3" w:hRule="exact"/>
        </w:trPr>
        <w:tc>
          <w:tcPr>
            <w:tcW w:w="992" w:type="dxa"/>
            <w:tcBorders>
              <w:tl2br w:val="nil"/>
              <w:tr2bl w:val="nil"/>
            </w:tcBorders>
            <w:vAlign w:val="center"/>
          </w:tcPr>
          <w:p w14:paraId="3D56D549">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作品</w:t>
            </w:r>
          </w:p>
          <w:p w14:paraId="54EF6AB0">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标题</w:t>
            </w:r>
          </w:p>
        </w:tc>
        <w:tc>
          <w:tcPr>
            <w:tcW w:w="3728" w:type="dxa"/>
            <w:gridSpan w:val="9"/>
            <w:tcBorders>
              <w:tl2br w:val="nil"/>
              <w:tr2bl w:val="nil"/>
            </w:tcBorders>
            <w:vAlign w:val="center"/>
          </w:tcPr>
          <w:p w14:paraId="5609971C">
            <w:pPr>
              <w:spacing w:line="240" w:lineRule="exact"/>
              <w:ind w:firstLine="0" w:firstLineChars="0"/>
              <w:rPr>
                <w:rFonts w:hint="eastAsia" w:ascii="仿宋" w:hAnsi="仿宋" w:eastAsia="仿宋" w:cs="仿宋"/>
                <w:color w:val="000000"/>
                <w:sz w:val="21"/>
                <w:szCs w:val="15"/>
              </w:rPr>
            </w:pPr>
            <w:r>
              <w:rPr>
                <w:rFonts w:hint="eastAsia" w:ascii="仿宋" w:hAnsi="仿宋" w:eastAsia="仿宋" w:cs="仿宋"/>
                <w:bCs w:val="0"/>
                <w:color w:val="000000"/>
                <w:sz w:val="21"/>
                <w:szCs w:val="15"/>
                <w:lang w:val="en-US" w:eastAsia="zh-CN"/>
              </w:rPr>
              <w:t>云端守望者——云岭天路上的铁路人</w:t>
            </w:r>
          </w:p>
        </w:tc>
        <w:tc>
          <w:tcPr>
            <w:tcW w:w="1819" w:type="dxa"/>
            <w:gridSpan w:val="2"/>
            <w:tcBorders>
              <w:tl2br w:val="nil"/>
              <w:tr2bl w:val="nil"/>
            </w:tcBorders>
            <w:vAlign w:val="center"/>
          </w:tcPr>
          <w:p w14:paraId="4D0A6EB6">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参评</w:t>
            </w:r>
          </w:p>
          <w:p w14:paraId="7C625C79">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项目</w:t>
            </w:r>
          </w:p>
        </w:tc>
        <w:tc>
          <w:tcPr>
            <w:tcW w:w="3274" w:type="dxa"/>
            <w:gridSpan w:val="5"/>
            <w:tcBorders>
              <w:tl2br w:val="nil"/>
              <w:tr2bl w:val="nil"/>
            </w:tcBorders>
            <w:vAlign w:val="center"/>
          </w:tcPr>
          <w:p w14:paraId="648297C0">
            <w:pPr>
              <w:spacing w:line="240" w:lineRule="exact"/>
              <w:ind w:firstLine="0" w:firstLineChars="0"/>
              <w:rPr>
                <w:rFonts w:hint="default" w:ascii="仿宋" w:hAnsi="仿宋" w:eastAsia="仿宋" w:cs="仿宋"/>
                <w:bCs w:val="0"/>
                <w:color w:val="000000"/>
                <w:sz w:val="21"/>
                <w:szCs w:val="15"/>
                <w:lang w:val="en-US" w:eastAsia="zh-CN"/>
              </w:rPr>
            </w:pPr>
            <w:r>
              <w:rPr>
                <w:rFonts w:hint="eastAsia" w:ascii="仿宋" w:hAnsi="仿宋" w:eastAsia="仿宋" w:cs="仿宋"/>
                <w:bCs w:val="0"/>
                <w:color w:val="000000"/>
                <w:sz w:val="21"/>
                <w:szCs w:val="15"/>
                <w:lang w:val="en-US" w:eastAsia="zh-CN"/>
              </w:rPr>
              <w:t>典型报道</w:t>
            </w:r>
          </w:p>
        </w:tc>
      </w:tr>
      <w:tr w14:paraId="09617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exact"/>
        </w:trPr>
        <w:tc>
          <w:tcPr>
            <w:tcW w:w="992" w:type="dxa"/>
            <w:vMerge w:val="restart"/>
            <w:tcBorders>
              <w:tl2br w:val="nil"/>
              <w:tr2bl w:val="nil"/>
            </w:tcBorders>
            <w:vAlign w:val="center"/>
          </w:tcPr>
          <w:p w14:paraId="420C0C53">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字数</w:t>
            </w:r>
          </w:p>
          <w:p w14:paraId="241941F1">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时长</w:t>
            </w:r>
          </w:p>
        </w:tc>
        <w:tc>
          <w:tcPr>
            <w:tcW w:w="3728" w:type="dxa"/>
            <w:gridSpan w:val="9"/>
            <w:vMerge w:val="restart"/>
            <w:tcBorders>
              <w:tl2br w:val="nil"/>
              <w:tr2bl w:val="nil"/>
            </w:tcBorders>
            <w:vAlign w:val="center"/>
          </w:tcPr>
          <w:p w14:paraId="78038E3E">
            <w:pPr>
              <w:spacing w:line="240" w:lineRule="exact"/>
              <w:ind w:firstLine="0" w:firstLineChars="0"/>
              <w:jc w:val="left"/>
              <w:rPr>
                <w:rFonts w:hint="default" w:ascii="仿宋" w:hAnsi="仿宋" w:eastAsia="仿宋" w:cs="仿宋"/>
                <w:color w:val="000000"/>
                <w:sz w:val="21"/>
                <w:szCs w:val="15"/>
                <w:lang w:val="en-US" w:eastAsia="zh-CN"/>
              </w:rPr>
            </w:pPr>
            <w:r>
              <w:rPr>
                <w:rFonts w:hint="eastAsia" w:ascii="仿宋" w:hAnsi="仿宋" w:eastAsia="仿宋" w:cs="仿宋"/>
                <w:color w:val="000000"/>
                <w:sz w:val="21"/>
                <w:szCs w:val="15"/>
                <w:lang w:val="en-US" w:eastAsia="zh-CN"/>
              </w:rPr>
              <w:t>199字/5分11秒</w:t>
            </w:r>
          </w:p>
        </w:tc>
        <w:tc>
          <w:tcPr>
            <w:tcW w:w="1819" w:type="dxa"/>
            <w:gridSpan w:val="2"/>
            <w:tcBorders>
              <w:tl2br w:val="nil"/>
              <w:tr2bl w:val="nil"/>
            </w:tcBorders>
            <w:vAlign w:val="center"/>
          </w:tcPr>
          <w:p w14:paraId="3B74E81B">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体裁</w:t>
            </w:r>
          </w:p>
        </w:tc>
        <w:tc>
          <w:tcPr>
            <w:tcW w:w="3274" w:type="dxa"/>
            <w:gridSpan w:val="5"/>
            <w:tcBorders>
              <w:tl2br w:val="nil"/>
              <w:tr2bl w:val="nil"/>
            </w:tcBorders>
            <w:vAlign w:val="center"/>
          </w:tcPr>
          <w:p w14:paraId="0EF9348B">
            <w:pPr>
              <w:spacing w:line="240" w:lineRule="exact"/>
              <w:ind w:firstLine="0" w:firstLineChars="0"/>
              <w:rPr>
                <w:rFonts w:hint="eastAsia" w:ascii="仿宋" w:hAnsi="仿宋" w:eastAsia="仿宋" w:cs="仿宋"/>
                <w:color w:val="000000"/>
                <w:sz w:val="21"/>
                <w:szCs w:val="15"/>
                <w:lang w:val="en-US" w:eastAsia="zh-CN"/>
              </w:rPr>
            </w:pPr>
            <w:r>
              <w:rPr>
                <w:rFonts w:hint="eastAsia" w:ascii="仿宋" w:hAnsi="仿宋" w:eastAsia="仿宋" w:cs="仿宋"/>
                <w:color w:val="000000"/>
                <w:sz w:val="21"/>
                <w:szCs w:val="15"/>
                <w:lang w:val="en-US" w:eastAsia="zh-CN"/>
              </w:rPr>
              <w:t>视频</w:t>
            </w:r>
          </w:p>
        </w:tc>
      </w:tr>
      <w:tr w14:paraId="7CAAA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992" w:type="dxa"/>
            <w:vMerge w:val="continue"/>
            <w:tcBorders>
              <w:tl2br w:val="nil"/>
              <w:tr2bl w:val="nil"/>
            </w:tcBorders>
            <w:vAlign w:val="center"/>
          </w:tcPr>
          <w:p w14:paraId="595770B0">
            <w:pPr>
              <w:spacing w:line="320" w:lineRule="exact"/>
              <w:jc w:val="center"/>
              <w:rPr>
                <w:rFonts w:hint="eastAsia" w:ascii="华文中宋" w:hAnsi="华文中宋" w:eastAsia="华文中宋"/>
                <w:color w:val="000000"/>
                <w:sz w:val="28"/>
              </w:rPr>
            </w:pPr>
          </w:p>
        </w:tc>
        <w:tc>
          <w:tcPr>
            <w:tcW w:w="3728" w:type="dxa"/>
            <w:gridSpan w:val="9"/>
            <w:vMerge w:val="continue"/>
            <w:tcBorders>
              <w:tl2br w:val="nil"/>
              <w:tr2bl w:val="nil"/>
            </w:tcBorders>
            <w:vAlign w:val="center"/>
          </w:tcPr>
          <w:p w14:paraId="0A8AF4DF">
            <w:pPr>
              <w:spacing w:line="380" w:lineRule="exact"/>
              <w:ind w:firstLine="560"/>
              <w:jc w:val="center"/>
              <w:rPr>
                <w:rFonts w:hint="eastAsia" w:ascii="华文中宋" w:hAnsi="华文中宋" w:eastAsia="华文中宋"/>
                <w:color w:val="000000"/>
                <w:sz w:val="21"/>
                <w:szCs w:val="21"/>
              </w:rPr>
            </w:pPr>
          </w:p>
        </w:tc>
        <w:tc>
          <w:tcPr>
            <w:tcW w:w="1819" w:type="dxa"/>
            <w:gridSpan w:val="2"/>
            <w:tcBorders>
              <w:tl2br w:val="nil"/>
              <w:tr2bl w:val="nil"/>
            </w:tcBorders>
            <w:vAlign w:val="center"/>
          </w:tcPr>
          <w:p w14:paraId="0FE0B5D4">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语种</w:t>
            </w:r>
          </w:p>
        </w:tc>
        <w:tc>
          <w:tcPr>
            <w:tcW w:w="3274" w:type="dxa"/>
            <w:gridSpan w:val="5"/>
            <w:tcBorders>
              <w:tl2br w:val="nil"/>
              <w:tr2bl w:val="nil"/>
            </w:tcBorders>
            <w:vAlign w:val="center"/>
          </w:tcPr>
          <w:p w14:paraId="3AAC3CF0">
            <w:pPr>
              <w:spacing w:line="240" w:lineRule="exact"/>
              <w:ind w:firstLine="0" w:firstLineChars="0"/>
              <w:rPr>
                <w:rFonts w:hint="eastAsia" w:ascii="仿宋" w:hAnsi="仿宋" w:eastAsia="仿宋" w:cs="仿宋"/>
                <w:color w:val="000000"/>
                <w:sz w:val="21"/>
                <w:szCs w:val="15"/>
                <w:lang w:eastAsia="zh-CN"/>
              </w:rPr>
            </w:pPr>
            <w:r>
              <w:rPr>
                <w:rFonts w:hint="eastAsia" w:ascii="仿宋" w:hAnsi="仿宋" w:eastAsia="仿宋" w:cs="仿宋"/>
                <w:bCs w:val="0"/>
                <w:color w:val="000000"/>
                <w:sz w:val="21"/>
                <w:szCs w:val="15"/>
              </w:rPr>
              <w:t>中文</w:t>
            </w:r>
          </w:p>
        </w:tc>
      </w:tr>
      <w:tr w14:paraId="5438D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trPr>
        <w:tc>
          <w:tcPr>
            <w:tcW w:w="992" w:type="dxa"/>
            <w:tcBorders>
              <w:tl2br w:val="nil"/>
              <w:tr2bl w:val="nil"/>
            </w:tcBorders>
            <w:vAlign w:val="center"/>
          </w:tcPr>
          <w:p w14:paraId="39E259F9">
            <w:pPr>
              <w:spacing w:line="320" w:lineRule="exact"/>
              <w:jc w:val="center"/>
              <w:rPr>
                <w:rFonts w:hint="eastAsia" w:ascii="华文中宋" w:hAnsi="华文中宋" w:eastAsia="华文中宋"/>
                <w:color w:val="000000"/>
                <w:spacing w:val="-12"/>
                <w:sz w:val="28"/>
              </w:rPr>
            </w:pPr>
            <w:r>
              <w:rPr>
                <w:rFonts w:hint="eastAsia" w:ascii="华文中宋" w:hAnsi="华文中宋" w:eastAsia="华文中宋"/>
                <w:color w:val="000000"/>
                <w:spacing w:val="-12"/>
                <w:sz w:val="28"/>
              </w:rPr>
              <w:t>作者</w:t>
            </w:r>
          </w:p>
          <w:p w14:paraId="56221385">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pacing w:val="-12"/>
                <w:sz w:val="16"/>
                <w:szCs w:val="16"/>
              </w:rPr>
              <w:t>（主创人员）</w:t>
            </w:r>
          </w:p>
        </w:tc>
        <w:tc>
          <w:tcPr>
            <w:tcW w:w="3728" w:type="dxa"/>
            <w:gridSpan w:val="9"/>
            <w:tcBorders>
              <w:tl2br w:val="nil"/>
              <w:tr2bl w:val="nil"/>
            </w:tcBorders>
            <w:vAlign w:val="center"/>
          </w:tcPr>
          <w:p w14:paraId="7453BB5E">
            <w:pPr>
              <w:spacing w:line="240" w:lineRule="exact"/>
              <w:ind w:firstLine="0" w:firstLineChars="0"/>
              <w:rPr>
                <w:rFonts w:hint="default" w:ascii="华文中宋" w:hAnsi="华文中宋" w:eastAsia="华文中宋"/>
                <w:color w:val="000000"/>
                <w:sz w:val="21"/>
                <w:szCs w:val="21"/>
                <w:lang w:val="en-US" w:eastAsia="zh-CN"/>
              </w:rPr>
            </w:pPr>
            <w:r>
              <w:rPr>
                <w:rFonts w:hint="eastAsia" w:ascii="仿宋" w:hAnsi="仿宋" w:eastAsia="仿宋" w:cs="仿宋"/>
                <w:bCs w:val="0"/>
                <w:color w:val="000000"/>
                <w:sz w:val="21"/>
                <w:szCs w:val="15"/>
                <w:lang w:val="en-US" w:eastAsia="zh-CN"/>
              </w:rPr>
              <w:t>刘玄、王亦萌、靳鹏超</w:t>
            </w:r>
          </w:p>
        </w:tc>
        <w:tc>
          <w:tcPr>
            <w:tcW w:w="1819" w:type="dxa"/>
            <w:gridSpan w:val="2"/>
            <w:tcBorders>
              <w:tl2br w:val="nil"/>
              <w:tr2bl w:val="nil"/>
            </w:tcBorders>
            <w:vAlign w:val="center"/>
          </w:tcPr>
          <w:p w14:paraId="4B47EE1F">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编辑</w:t>
            </w:r>
          </w:p>
        </w:tc>
        <w:tc>
          <w:tcPr>
            <w:tcW w:w="3274" w:type="dxa"/>
            <w:gridSpan w:val="5"/>
            <w:tcBorders>
              <w:tl2br w:val="nil"/>
              <w:tr2bl w:val="nil"/>
            </w:tcBorders>
            <w:vAlign w:val="center"/>
          </w:tcPr>
          <w:p w14:paraId="21870789">
            <w:pPr>
              <w:spacing w:line="240" w:lineRule="exact"/>
              <w:ind w:firstLine="0" w:firstLineChars="0"/>
              <w:rPr>
                <w:rFonts w:hint="default" w:ascii="仿宋" w:hAnsi="仿宋" w:eastAsia="仿宋" w:cs="仿宋"/>
                <w:color w:val="000000"/>
                <w:sz w:val="21"/>
                <w:szCs w:val="15"/>
                <w:lang w:val="en-US" w:eastAsia="zh-CN"/>
              </w:rPr>
            </w:pPr>
            <w:r>
              <w:rPr>
                <w:rFonts w:hint="eastAsia" w:ascii="仿宋" w:hAnsi="仿宋" w:eastAsia="仿宋" w:cs="仿宋"/>
                <w:bCs w:val="0"/>
                <w:color w:val="000000"/>
                <w:sz w:val="21"/>
                <w:szCs w:val="15"/>
                <w:lang w:val="en-US" w:eastAsia="zh-CN"/>
              </w:rPr>
              <w:t>罗娟、马杨灵</w:t>
            </w:r>
          </w:p>
        </w:tc>
      </w:tr>
      <w:tr w14:paraId="371D0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trPr>
        <w:tc>
          <w:tcPr>
            <w:tcW w:w="992" w:type="dxa"/>
            <w:tcBorders>
              <w:tl2br w:val="nil"/>
              <w:tr2bl w:val="nil"/>
            </w:tcBorders>
            <w:vAlign w:val="center"/>
          </w:tcPr>
          <w:p w14:paraId="1D26F75B">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原创</w:t>
            </w:r>
          </w:p>
          <w:p w14:paraId="0880A548">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单位</w:t>
            </w:r>
          </w:p>
        </w:tc>
        <w:tc>
          <w:tcPr>
            <w:tcW w:w="3728" w:type="dxa"/>
            <w:gridSpan w:val="9"/>
            <w:tcBorders>
              <w:tl2br w:val="nil"/>
              <w:tr2bl w:val="nil"/>
            </w:tcBorders>
            <w:vAlign w:val="center"/>
          </w:tcPr>
          <w:p w14:paraId="4A51632B">
            <w:pPr>
              <w:spacing w:line="260" w:lineRule="exact"/>
              <w:ind w:firstLine="0"/>
              <w:rPr>
                <w:rFonts w:hint="default" w:ascii="方正仿宋_GB2312" w:hAnsi="仿宋" w:eastAsia="方正仿宋_GB2312"/>
                <w:color w:val="000000"/>
                <w:szCs w:val="21"/>
                <w:lang w:val="en-US" w:eastAsia="zh-CN"/>
              </w:rPr>
            </w:pPr>
            <w:r>
              <w:rPr>
                <w:rFonts w:hint="eastAsia" w:ascii="仿宋" w:hAnsi="仿宋" w:eastAsia="仿宋" w:cs="仿宋"/>
                <w:bCs w:val="0"/>
                <w:color w:val="000000"/>
                <w:spacing w:val="-6"/>
                <w:sz w:val="21"/>
                <w:szCs w:val="15"/>
                <w:lang w:val="en-US" w:eastAsia="zh-CN"/>
              </w:rPr>
              <w:t>工人日报社</w:t>
            </w:r>
          </w:p>
        </w:tc>
        <w:tc>
          <w:tcPr>
            <w:tcW w:w="1819" w:type="dxa"/>
            <w:gridSpan w:val="2"/>
            <w:tcBorders>
              <w:tl2br w:val="nil"/>
              <w:tr2bl w:val="nil"/>
            </w:tcBorders>
            <w:vAlign w:val="center"/>
          </w:tcPr>
          <w:p w14:paraId="1916C51B">
            <w:pPr>
              <w:spacing w:line="260" w:lineRule="exact"/>
              <w:rPr>
                <w:rFonts w:hint="eastAsia" w:ascii="华文中宋" w:hAnsi="华文中宋" w:eastAsia="华文中宋"/>
                <w:color w:val="000000"/>
                <w:sz w:val="24"/>
                <w:szCs w:val="36"/>
              </w:rPr>
            </w:pPr>
            <w:r>
              <w:rPr>
                <w:rFonts w:hint="eastAsia" w:ascii="华文中宋" w:hAnsi="华文中宋" w:eastAsia="华文中宋"/>
                <w:color w:val="000000"/>
                <w:sz w:val="24"/>
                <w:szCs w:val="36"/>
              </w:rPr>
              <w:t>发布端/账号/</w:t>
            </w:r>
          </w:p>
          <w:p w14:paraId="7B62230C">
            <w:pPr>
              <w:spacing w:line="260" w:lineRule="exact"/>
              <w:rPr>
                <w:rFonts w:ascii="方正仿宋_GB2312" w:hAnsi="仿宋"/>
                <w:color w:val="000000"/>
                <w:sz w:val="28"/>
                <w:szCs w:val="40"/>
                <w:highlight w:val="green"/>
              </w:rPr>
            </w:pPr>
            <w:r>
              <w:rPr>
                <w:rFonts w:hint="eastAsia" w:ascii="华文中宋" w:hAnsi="华文中宋" w:eastAsia="华文中宋"/>
                <w:color w:val="000000"/>
                <w:sz w:val="24"/>
                <w:szCs w:val="36"/>
              </w:rPr>
              <w:t>媒体名称</w:t>
            </w:r>
          </w:p>
        </w:tc>
        <w:tc>
          <w:tcPr>
            <w:tcW w:w="3274" w:type="dxa"/>
            <w:gridSpan w:val="5"/>
            <w:tcBorders>
              <w:tl2br w:val="nil"/>
              <w:tr2bl w:val="nil"/>
            </w:tcBorders>
            <w:vAlign w:val="center"/>
          </w:tcPr>
          <w:p w14:paraId="1B3ABACD">
            <w:pPr>
              <w:spacing w:line="240" w:lineRule="exact"/>
              <w:ind w:firstLine="0" w:firstLineChars="0"/>
              <w:rPr>
                <w:rFonts w:hint="eastAsia" w:ascii="仿宋" w:hAnsi="仿宋" w:eastAsia="仿宋" w:cs="仿宋"/>
                <w:color w:val="000000"/>
                <w:sz w:val="21"/>
                <w:szCs w:val="15"/>
                <w:highlight w:val="none"/>
                <w:lang w:eastAsia="zh-CN"/>
              </w:rPr>
            </w:pPr>
            <w:r>
              <w:rPr>
                <w:rFonts w:hint="eastAsia" w:ascii="仿宋" w:hAnsi="仿宋" w:eastAsia="仿宋" w:cs="仿宋"/>
                <w:bCs w:val="0"/>
                <w:color w:val="000000"/>
                <w:sz w:val="21"/>
                <w:szCs w:val="15"/>
                <w:lang w:val="en-US" w:eastAsia="zh-CN"/>
              </w:rPr>
              <w:t>中工网</w:t>
            </w:r>
            <w:bookmarkStart w:id="0" w:name="_GoBack"/>
            <w:bookmarkEnd w:id="0"/>
          </w:p>
        </w:tc>
      </w:tr>
      <w:tr w14:paraId="53AD1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exact"/>
        </w:trPr>
        <w:tc>
          <w:tcPr>
            <w:tcW w:w="1504" w:type="dxa"/>
            <w:gridSpan w:val="3"/>
            <w:tcBorders>
              <w:tl2br w:val="nil"/>
              <w:tr2bl w:val="nil"/>
            </w:tcBorders>
            <w:vAlign w:val="center"/>
          </w:tcPr>
          <w:p w14:paraId="04B8C047">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刊播版面</w:t>
            </w:r>
          </w:p>
          <w:p w14:paraId="6F72177F">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pacing w:val="-23"/>
                <w:sz w:val="24"/>
                <w:szCs w:val="21"/>
                <w:lang w:eastAsia="zh-CN"/>
              </w:rPr>
              <w:t>（</w:t>
            </w:r>
            <w:r>
              <w:rPr>
                <w:rFonts w:hint="eastAsia" w:ascii="华文中宋" w:hAnsi="华文中宋" w:eastAsia="华文中宋"/>
                <w:color w:val="000000"/>
                <w:spacing w:val="-23"/>
                <w:sz w:val="22"/>
                <w:szCs w:val="21"/>
              </w:rPr>
              <w:t>名称和版次</w:t>
            </w:r>
            <w:r>
              <w:rPr>
                <w:rFonts w:hint="eastAsia" w:ascii="华文中宋" w:hAnsi="华文中宋" w:eastAsia="华文中宋"/>
                <w:color w:val="000000"/>
                <w:spacing w:val="-23"/>
                <w:sz w:val="22"/>
                <w:szCs w:val="21"/>
                <w:lang w:eastAsia="zh-CN"/>
              </w:rPr>
              <w:t>）</w:t>
            </w:r>
          </w:p>
        </w:tc>
        <w:tc>
          <w:tcPr>
            <w:tcW w:w="3216" w:type="dxa"/>
            <w:gridSpan w:val="7"/>
            <w:tcBorders>
              <w:tl2br w:val="nil"/>
              <w:tr2bl w:val="nil"/>
            </w:tcBorders>
            <w:vAlign w:val="center"/>
          </w:tcPr>
          <w:p w14:paraId="06FC5C4D">
            <w:pPr>
              <w:spacing w:line="260" w:lineRule="exact"/>
              <w:rPr>
                <w:rFonts w:ascii="方正仿宋_GB2312" w:hAnsi="仿宋"/>
                <w:color w:val="000000"/>
                <w:szCs w:val="21"/>
              </w:rPr>
            </w:pPr>
          </w:p>
        </w:tc>
        <w:tc>
          <w:tcPr>
            <w:tcW w:w="872" w:type="dxa"/>
            <w:tcBorders>
              <w:tl2br w:val="nil"/>
              <w:tr2bl w:val="nil"/>
            </w:tcBorders>
            <w:vAlign w:val="center"/>
          </w:tcPr>
          <w:p w14:paraId="1A6D9E83">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lang w:val="en-US" w:eastAsia="zh-CN"/>
              </w:rPr>
              <w:t>发布</w:t>
            </w:r>
            <w:r>
              <w:rPr>
                <w:rFonts w:hint="eastAsia" w:ascii="华文中宋" w:hAnsi="华文中宋" w:eastAsia="华文中宋"/>
                <w:color w:val="000000"/>
                <w:sz w:val="28"/>
              </w:rPr>
              <w:t>日期</w:t>
            </w:r>
          </w:p>
        </w:tc>
        <w:tc>
          <w:tcPr>
            <w:tcW w:w="4221" w:type="dxa"/>
            <w:gridSpan w:val="6"/>
            <w:tcBorders>
              <w:tl2br w:val="nil"/>
              <w:tr2bl w:val="nil"/>
            </w:tcBorders>
            <w:vAlign w:val="center"/>
          </w:tcPr>
          <w:p w14:paraId="7A66C554">
            <w:pPr>
              <w:spacing w:line="260" w:lineRule="exact"/>
              <w:rPr>
                <w:rFonts w:ascii="方正仿宋_GB2312" w:hAnsi="仿宋"/>
                <w:color w:val="000000"/>
                <w:szCs w:val="21"/>
              </w:rPr>
            </w:pPr>
            <w:r>
              <w:rPr>
                <w:rFonts w:hint="eastAsia" w:ascii="仿宋" w:hAnsi="仿宋" w:eastAsia="仿宋" w:cs="仿宋"/>
                <w:color w:val="000000"/>
                <w:sz w:val="21"/>
                <w:szCs w:val="15"/>
                <w:lang w:val="en-US" w:eastAsia="zh-CN"/>
              </w:rPr>
              <w:t>2025年4</w:t>
            </w:r>
            <w:r>
              <w:rPr>
                <w:rFonts w:hint="eastAsia" w:ascii="仿宋" w:hAnsi="仿宋" w:eastAsia="仿宋" w:cs="仿宋"/>
                <w:color w:val="000000"/>
                <w:sz w:val="21"/>
                <w:szCs w:val="15"/>
              </w:rPr>
              <w:t>月</w:t>
            </w:r>
            <w:r>
              <w:rPr>
                <w:rFonts w:hint="eastAsia" w:ascii="仿宋" w:hAnsi="仿宋" w:eastAsia="仿宋" w:cs="仿宋"/>
                <w:color w:val="000000"/>
                <w:sz w:val="21"/>
                <w:szCs w:val="15"/>
                <w:lang w:val="en-US" w:eastAsia="zh-CN"/>
              </w:rPr>
              <w:t>3</w:t>
            </w:r>
            <w:r>
              <w:rPr>
                <w:rFonts w:hint="eastAsia" w:ascii="仿宋" w:hAnsi="仿宋" w:eastAsia="仿宋" w:cs="仿宋"/>
                <w:color w:val="000000"/>
                <w:sz w:val="21"/>
                <w:szCs w:val="15"/>
              </w:rPr>
              <w:t>日</w:t>
            </w:r>
            <w:r>
              <w:rPr>
                <w:rFonts w:hint="eastAsia" w:ascii="仿宋" w:hAnsi="仿宋" w:eastAsia="仿宋" w:cs="仿宋"/>
                <w:color w:val="000000"/>
                <w:sz w:val="21"/>
                <w:szCs w:val="15"/>
                <w:lang w:val="en-US" w:eastAsia="zh-CN"/>
              </w:rPr>
              <w:t>19</w:t>
            </w:r>
            <w:r>
              <w:rPr>
                <w:rFonts w:hint="eastAsia" w:ascii="仿宋" w:hAnsi="仿宋" w:eastAsia="仿宋" w:cs="仿宋"/>
                <w:color w:val="000000"/>
                <w:sz w:val="21"/>
                <w:szCs w:val="15"/>
              </w:rPr>
              <w:t>时</w:t>
            </w:r>
            <w:r>
              <w:rPr>
                <w:rFonts w:hint="eastAsia" w:ascii="仿宋" w:hAnsi="仿宋" w:eastAsia="仿宋" w:cs="仿宋"/>
                <w:color w:val="000000"/>
                <w:sz w:val="21"/>
                <w:szCs w:val="15"/>
                <w:lang w:val="en-US" w:eastAsia="zh-CN"/>
              </w:rPr>
              <w:t>28</w:t>
            </w:r>
            <w:r>
              <w:rPr>
                <w:rFonts w:hint="eastAsia" w:ascii="仿宋" w:hAnsi="仿宋" w:eastAsia="仿宋" w:cs="仿宋"/>
                <w:color w:val="000000"/>
                <w:sz w:val="21"/>
                <w:szCs w:val="15"/>
              </w:rPr>
              <w:t>分</w:t>
            </w:r>
          </w:p>
        </w:tc>
      </w:tr>
      <w:tr w14:paraId="60708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8" w:hRule="atLeast"/>
        </w:trPr>
        <w:tc>
          <w:tcPr>
            <w:tcW w:w="1504" w:type="dxa"/>
            <w:gridSpan w:val="3"/>
            <w:tcBorders>
              <w:tl2br w:val="nil"/>
              <w:tr2bl w:val="nil"/>
            </w:tcBorders>
            <w:vAlign w:val="center"/>
          </w:tcPr>
          <w:p w14:paraId="2FC99FA4">
            <w:pPr>
              <w:spacing w:line="320" w:lineRule="exact"/>
              <w:jc w:val="center"/>
              <w:rPr>
                <w:rFonts w:hint="eastAsia" w:ascii="华文中宋" w:hAnsi="华文中宋" w:eastAsia="华文中宋"/>
                <w:color w:val="000000"/>
                <w:sz w:val="24"/>
                <w:szCs w:val="21"/>
                <w:lang w:eastAsia="zh-CN"/>
              </w:rPr>
            </w:pPr>
            <w:r>
              <w:rPr>
                <w:rFonts w:hint="eastAsia" w:ascii="华文中宋" w:hAnsi="华文中宋" w:eastAsia="华文中宋"/>
                <w:color w:val="000000"/>
                <w:sz w:val="24"/>
                <w:szCs w:val="21"/>
              </w:rPr>
              <w:t>新媒体</w:t>
            </w:r>
            <w:r>
              <w:rPr>
                <w:rFonts w:hint="default" w:ascii="华文中宋" w:hAnsi="华文中宋" w:eastAsia="华文中宋"/>
                <w:color w:val="000000"/>
                <w:sz w:val="24"/>
                <w:szCs w:val="21"/>
                <w:lang w:val="en-US"/>
              </w:rPr>
              <w:t>作品</w:t>
            </w:r>
          </w:p>
          <w:p w14:paraId="32F6A552">
            <w:pPr>
              <w:spacing w:line="320" w:lineRule="exact"/>
              <w:jc w:val="center"/>
              <w:rPr>
                <w:rFonts w:hint="eastAsia" w:ascii="方正仿宋_GB2312" w:hAnsi="仿宋" w:eastAsia="华文中宋"/>
                <w:color w:val="000000"/>
                <w:szCs w:val="21"/>
                <w:lang w:eastAsia="zh-CN"/>
              </w:rPr>
            </w:pPr>
            <w:r>
              <w:rPr>
                <w:rFonts w:hint="eastAsia" w:ascii="华文中宋" w:hAnsi="华文中宋" w:eastAsia="华文中宋"/>
                <w:color w:val="000000"/>
                <w:sz w:val="24"/>
                <w:szCs w:val="21"/>
                <w:lang w:val="en-US" w:eastAsia="zh-CN"/>
              </w:rPr>
              <w:t>链接</w:t>
            </w:r>
          </w:p>
        </w:tc>
        <w:tc>
          <w:tcPr>
            <w:tcW w:w="5035" w:type="dxa"/>
            <w:gridSpan w:val="9"/>
            <w:tcBorders>
              <w:tl2br w:val="nil"/>
              <w:tr2bl w:val="nil"/>
            </w:tcBorders>
            <w:vAlign w:val="center"/>
          </w:tcPr>
          <w:p w14:paraId="24197490">
            <w:pPr>
              <w:spacing w:line="260" w:lineRule="exact"/>
              <w:rPr>
                <w:rFonts w:hint="eastAsia" w:ascii="仿宋" w:hAnsi="仿宋" w:eastAsia="仿宋" w:cs="仿宋"/>
                <w:color w:val="000000"/>
                <w:sz w:val="21"/>
                <w:szCs w:val="15"/>
                <w:lang w:val="en-US" w:eastAsia="zh-CN"/>
              </w:rPr>
            </w:pPr>
            <w:r>
              <w:rPr>
                <w:rFonts w:hint="eastAsia" w:ascii="华文中宋" w:hAnsi="华文中宋" w:eastAsia="华文中宋"/>
                <w:color w:val="000000"/>
                <w:sz w:val="28"/>
                <w:lang w:eastAsia="zh-CN"/>
              </w:rPr>
              <w:drawing>
                <wp:anchor distT="0" distB="0" distL="114300" distR="114300" simplePos="0" relativeHeight="251659264" behindDoc="0" locked="0" layoutInCell="1" allowOverlap="1">
                  <wp:simplePos x="0" y="0"/>
                  <wp:positionH relativeFrom="column">
                    <wp:posOffset>9525</wp:posOffset>
                  </wp:positionH>
                  <wp:positionV relativeFrom="paragraph">
                    <wp:posOffset>33655</wp:posOffset>
                  </wp:positionV>
                  <wp:extent cx="896620" cy="896620"/>
                  <wp:effectExtent l="0" t="0" r="17780" b="17780"/>
                  <wp:wrapSquare wrapText="bothSides"/>
                  <wp:docPr id="2" name="图片 2" descr="7f788d2d12fc28239bfac55314d6db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f788d2d12fc28239bfac55314d6db68"/>
                          <pic:cNvPicPr>
                            <a:picLocks noChangeAspect="1"/>
                          </pic:cNvPicPr>
                        </pic:nvPicPr>
                        <pic:blipFill>
                          <a:blip r:embed="rId5"/>
                          <a:stretch>
                            <a:fillRect/>
                          </a:stretch>
                        </pic:blipFill>
                        <pic:spPr>
                          <a:xfrm>
                            <a:off x="0" y="0"/>
                            <a:ext cx="896620" cy="896620"/>
                          </a:xfrm>
                          <a:prstGeom prst="rect">
                            <a:avLst/>
                          </a:prstGeom>
                        </pic:spPr>
                      </pic:pic>
                    </a:graphicData>
                  </a:graphic>
                </wp:anchor>
              </w:drawing>
            </w:r>
          </w:p>
          <w:p w14:paraId="4E5EF1FC">
            <w:pPr>
              <w:spacing w:line="260" w:lineRule="exact"/>
              <w:rPr>
                <w:rFonts w:hint="eastAsia" w:ascii="仿宋" w:hAnsi="仿宋" w:eastAsia="仿宋" w:cs="仿宋"/>
                <w:color w:val="000000"/>
                <w:sz w:val="21"/>
                <w:szCs w:val="15"/>
                <w:lang w:val="en-US" w:eastAsia="zh-CN"/>
              </w:rPr>
            </w:pPr>
          </w:p>
          <w:p w14:paraId="354E7794">
            <w:pPr>
              <w:spacing w:line="260" w:lineRule="exact"/>
              <w:jc w:val="both"/>
              <w:rPr>
                <w:rFonts w:hint="eastAsia" w:ascii="仿宋" w:hAnsi="仿宋" w:eastAsia="仿宋" w:cs="仿宋"/>
                <w:bCs w:val="0"/>
                <w:color w:val="000000"/>
                <w:spacing w:val="-6"/>
                <w:sz w:val="21"/>
                <w:szCs w:val="15"/>
                <w:lang w:val="en-US" w:eastAsia="zh-CN"/>
              </w:rPr>
            </w:pPr>
          </w:p>
          <w:p w14:paraId="4609859E">
            <w:pPr>
              <w:spacing w:line="260" w:lineRule="exact"/>
              <w:jc w:val="both"/>
              <w:rPr>
                <w:rFonts w:hint="eastAsia" w:ascii="仿宋" w:hAnsi="仿宋" w:eastAsia="仿宋" w:cs="仿宋"/>
                <w:bCs w:val="0"/>
                <w:color w:val="000000"/>
                <w:spacing w:val="-6"/>
                <w:sz w:val="21"/>
                <w:szCs w:val="15"/>
                <w:lang w:val="en-US" w:eastAsia="zh-CN"/>
              </w:rPr>
            </w:pPr>
          </w:p>
          <w:p w14:paraId="28E86846">
            <w:pPr>
              <w:spacing w:line="260" w:lineRule="exact"/>
              <w:jc w:val="both"/>
              <w:rPr>
                <w:rFonts w:hint="eastAsia" w:ascii="仿宋" w:hAnsi="仿宋" w:eastAsia="仿宋" w:cs="仿宋"/>
                <w:bCs w:val="0"/>
                <w:color w:val="000000"/>
                <w:spacing w:val="-6"/>
                <w:sz w:val="21"/>
                <w:szCs w:val="15"/>
                <w:lang w:val="en-US" w:eastAsia="zh-CN"/>
              </w:rPr>
            </w:pPr>
          </w:p>
          <w:p w14:paraId="20DC9927">
            <w:pPr>
              <w:spacing w:line="260" w:lineRule="exact"/>
              <w:jc w:val="both"/>
              <w:rPr>
                <w:rFonts w:hint="eastAsia" w:ascii="仿宋" w:hAnsi="仿宋" w:eastAsia="仿宋" w:cs="仿宋"/>
                <w:bCs w:val="0"/>
                <w:color w:val="000000"/>
                <w:spacing w:val="-6"/>
                <w:sz w:val="21"/>
                <w:szCs w:val="15"/>
                <w:lang w:val="en-US" w:eastAsia="zh-CN"/>
              </w:rPr>
            </w:pPr>
          </w:p>
          <w:p w14:paraId="78E7ED31">
            <w:pPr>
              <w:spacing w:line="260" w:lineRule="exact"/>
              <w:jc w:val="both"/>
              <w:rPr>
                <w:rFonts w:hint="eastAsia" w:ascii="华文中宋" w:hAnsi="华文中宋" w:eastAsia="华文中宋"/>
                <w:color w:val="000000"/>
                <w:sz w:val="28"/>
                <w:lang w:eastAsia="zh-CN"/>
              </w:rPr>
            </w:pPr>
            <w:r>
              <w:rPr>
                <w:rFonts w:hint="eastAsia" w:ascii="仿宋" w:hAnsi="仿宋" w:eastAsia="仿宋" w:cs="仿宋"/>
                <w:bCs w:val="0"/>
                <w:color w:val="000000"/>
                <w:spacing w:val="-6"/>
                <w:sz w:val="21"/>
                <w:szCs w:val="15"/>
                <w:lang w:val="en-US" w:eastAsia="zh-CN"/>
              </w:rPr>
              <w:t>https://www.workercn.cn/c/2025-04-03/8493563.shtml</w:t>
            </w:r>
          </w:p>
        </w:tc>
        <w:tc>
          <w:tcPr>
            <w:tcW w:w="1742" w:type="dxa"/>
            <w:gridSpan w:val="4"/>
            <w:tcBorders>
              <w:tl2br w:val="nil"/>
              <w:tr2bl w:val="nil"/>
            </w:tcBorders>
            <w:vAlign w:val="center"/>
          </w:tcPr>
          <w:p w14:paraId="79A0CB2B">
            <w:pPr>
              <w:spacing w:line="320" w:lineRule="exact"/>
              <w:jc w:val="center"/>
              <w:rPr>
                <w:rFonts w:hint="eastAsia" w:ascii="华文中宋" w:hAnsi="华文中宋" w:eastAsia="华文中宋"/>
                <w:color w:val="000000"/>
                <w:sz w:val="22"/>
                <w:szCs w:val="20"/>
              </w:rPr>
            </w:pPr>
            <w:r>
              <w:rPr>
                <w:rFonts w:hint="eastAsia" w:ascii="华文中宋" w:hAnsi="华文中宋" w:eastAsia="华文中宋"/>
                <w:color w:val="000000"/>
                <w:sz w:val="22"/>
                <w:szCs w:val="20"/>
              </w:rPr>
              <w:t>是否为</w:t>
            </w:r>
          </w:p>
          <w:p w14:paraId="748372CC">
            <w:pPr>
              <w:spacing w:line="320" w:lineRule="exact"/>
              <w:jc w:val="center"/>
              <w:rPr>
                <w:rFonts w:hint="eastAsia" w:ascii="华文中宋" w:hAnsi="华文中宋" w:eastAsia="华文中宋"/>
                <w:color w:val="000000"/>
                <w:sz w:val="24"/>
                <w:szCs w:val="21"/>
              </w:rPr>
            </w:pPr>
            <w:r>
              <w:rPr>
                <w:rFonts w:hint="eastAsia" w:ascii="华文中宋" w:hAnsi="华文中宋" w:eastAsia="华文中宋"/>
                <w:color w:val="000000"/>
                <w:sz w:val="22"/>
                <w:szCs w:val="20"/>
              </w:rPr>
              <w:t>“三好作品”</w:t>
            </w:r>
          </w:p>
        </w:tc>
        <w:tc>
          <w:tcPr>
            <w:tcW w:w="1532" w:type="dxa"/>
            <w:tcBorders>
              <w:tl2br w:val="nil"/>
              <w:tr2bl w:val="nil"/>
            </w:tcBorders>
            <w:vAlign w:val="center"/>
          </w:tcPr>
          <w:p w14:paraId="3B30F695">
            <w:pPr>
              <w:spacing w:line="260" w:lineRule="exact"/>
              <w:rPr>
                <w:rFonts w:hint="default" w:ascii="华文中宋" w:hAnsi="华文中宋" w:eastAsia="华文中宋"/>
                <w:color w:val="000000"/>
                <w:sz w:val="28"/>
                <w:lang w:val="en-US" w:eastAsia="zh-CN"/>
              </w:rPr>
            </w:pPr>
            <w:r>
              <w:rPr>
                <w:rFonts w:hint="eastAsia" w:ascii="仿宋" w:hAnsi="仿宋" w:eastAsia="仿宋" w:cs="仿宋"/>
                <w:color w:val="000000"/>
                <w:sz w:val="21"/>
                <w:szCs w:val="15"/>
                <w:lang w:val="en-US" w:eastAsia="zh-CN"/>
              </w:rPr>
              <w:t>否</w:t>
            </w:r>
          </w:p>
        </w:tc>
      </w:tr>
      <w:tr w14:paraId="6D9FA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0" w:hRule="atLeast"/>
        </w:trPr>
        <w:tc>
          <w:tcPr>
            <w:tcW w:w="992" w:type="dxa"/>
            <w:tcBorders>
              <w:tl2br w:val="nil"/>
              <w:tr2bl w:val="nil"/>
            </w:tcBorders>
            <w:vAlign w:val="center"/>
          </w:tcPr>
          <w:p w14:paraId="3869C970">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作</w:t>
            </w:r>
          </w:p>
          <w:p w14:paraId="4D61922C">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品</w:t>
            </w:r>
          </w:p>
          <w:p w14:paraId="33317C93">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简</w:t>
            </w:r>
          </w:p>
          <w:p w14:paraId="55AC6290">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介</w:t>
            </w:r>
          </w:p>
        </w:tc>
        <w:tc>
          <w:tcPr>
            <w:tcW w:w="8821" w:type="dxa"/>
            <w:gridSpan w:val="16"/>
            <w:tcBorders>
              <w:tl2br w:val="nil"/>
              <w:tr2bl w:val="nil"/>
            </w:tcBorders>
            <w:vAlign w:val="center"/>
          </w:tcPr>
          <w:p w14:paraId="1FF1E1F2">
            <w:pPr>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滇藏铁路丽香段地处青藏高原东南缘，穿越横断山脉，是世界公认的“地质博物馆”，海拔从2200米攀升至3300米，高寒缺氧、气候多变、地质复杂，被誉为“云岭天路”。2025年4月初，记者克服高原反应深入海拔3300米的铁路一线，将镜头对准了那些默默坚守在背后的三位一线劳动者：陈永祥带领团队扎根23年，将钢轨间距误差始终控制在1毫米之内；正面吊司机梁立在高原缺氧环境下，每日完成200多个集装箱的装卸作业，让古老的茶马古道焕发新生；“90后”工长唐浩鹏常年攀行于金沙江特大桥的钢桁梁间，在激流与雪峰的夹缝中守护线路安全。从深夜的钢轨检修到货运站的昼夜运转，再到悬索桥上的高空巡检，正是这些“云端守望者”年复一年的坚守，让天堑变通途。</w:t>
            </w:r>
          </w:p>
          <w:p w14:paraId="755233F1">
            <w:pPr>
              <w:ind w:firstLine="420" w:firstLineChars="200"/>
              <w:rPr>
                <w:rFonts w:hint="eastAsia" w:ascii="仿宋" w:hAnsi="仿宋" w:eastAsia="仿宋"/>
                <w:color w:val="000000"/>
                <w:w w:val="95"/>
                <w:sz w:val="21"/>
                <w:szCs w:val="21"/>
              </w:rPr>
            </w:pPr>
            <w:r>
              <w:rPr>
                <w:rFonts w:hint="eastAsia" w:ascii="仿宋" w:hAnsi="仿宋" w:eastAsia="仿宋" w:cs="仿宋"/>
                <w:color w:val="000000"/>
                <w:sz w:val="21"/>
                <w:szCs w:val="21"/>
              </w:rPr>
              <w:t>作品采用微纪录片、第一视角Vlog等融媒体形态，真实记录并编排了一线劳动者的背后故事，用“小人物”折射“大时代”，生动展现了“缺氧不缺精神”的坚韧品质。该作品在工人日报客户端、中工网网页、微信视频号、微博等平台同步发布，不仅有力提升了公众对高原铁路守护者的关注与敬意，更在全社会弘扬了劳模精神、劳动精神、工匠精神，增强了人们对“交通强国”战略的理解与支持，产生了良好的社会效果。</w:t>
            </w:r>
          </w:p>
        </w:tc>
      </w:tr>
      <w:tr w14:paraId="05D05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6" w:hRule="exact"/>
        </w:trPr>
        <w:tc>
          <w:tcPr>
            <w:tcW w:w="992" w:type="dxa"/>
            <w:vMerge w:val="restart"/>
            <w:tcBorders>
              <w:tl2br w:val="nil"/>
              <w:tr2bl w:val="nil"/>
            </w:tcBorders>
            <w:vAlign w:val="center"/>
          </w:tcPr>
          <w:p w14:paraId="7BFC70BA">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传</w:t>
            </w:r>
          </w:p>
          <w:p w14:paraId="0F6B8EA2">
            <w:pPr>
              <w:spacing w:line="320" w:lineRule="exact"/>
              <w:jc w:val="center"/>
              <w:rPr>
                <w:rFonts w:hint="default" w:ascii="华文中宋" w:hAnsi="华文中宋" w:eastAsia="华文中宋"/>
                <w:color w:val="000000"/>
                <w:sz w:val="28"/>
                <w:szCs w:val="22"/>
                <w:lang w:val="en-US" w:eastAsia="zh-CN"/>
              </w:rPr>
            </w:pPr>
            <w:r>
              <w:rPr>
                <w:rFonts w:hint="eastAsia" w:ascii="华文中宋" w:hAnsi="华文中宋" w:eastAsia="华文中宋"/>
                <w:color w:val="000000"/>
                <w:sz w:val="28"/>
                <w:szCs w:val="22"/>
              </w:rPr>
              <w:t>播</w:t>
            </w:r>
          </w:p>
          <w:p w14:paraId="1A867DFC">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数</w:t>
            </w:r>
          </w:p>
          <w:p w14:paraId="0EFA37B9">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据</w:t>
            </w:r>
          </w:p>
        </w:tc>
        <w:tc>
          <w:tcPr>
            <w:tcW w:w="1400" w:type="dxa"/>
            <w:gridSpan w:val="5"/>
            <w:tcBorders>
              <w:tl2br w:val="nil"/>
              <w:tr2bl w:val="nil"/>
            </w:tcBorders>
            <w:vAlign w:val="center"/>
          </w:tcPr>
          <w:p w14:paraId="0B930050">
            <w:pPr>
              <w:jc w:val="center"/>
              <w:rPr>
                <w:rFonts w:hint="eastAsia" w:ascii="楷体" w:hAnsi="楷体" w:eastAsia="楷体" w:cs="楷体"/>
                <w:b/>
                <w:bCs/>
                <w:color w:val="000000"/>
                <w:sz w:val="24"/>
                <w:szCs w:val="18"/>
              </w:rPr>
            </w:pPr>
            <w:r>
              <w:rPr>
                <w:rFonts w:hint="eastAsia" w:ascii="楷体" w:hAnsi="楷体" w:eastAsia="楷体" w:cs="楷体"/>
                <w:b/>
                <w:bCs/>
                <w:color w:val="000000"/>
                <w:spacing w:val="-10"/>
                <w:sz w:val="24"/>
                <w:szCs w:val="18"/>
                <w:lang w:val="en-US" w:eastAsia="zh-CN"/>
              </w:rPr>
              <w:t>全网</w:t>
            </w:r>
            <w:r>
              <w:rPr>
                <w:rFonts w:hint="eastAsia" w:ascii="楷体" w:hAnsi="楷体" w:eastAsia="楷体" w:cs="楷体"/>
                <w:b/>
                <w:bCs/>
                <w:color w:val="000000"/>
                <w:spacing w:val="-10"/>
                <w:sz w:val="24"/>
                <w:szCs w:val="18"/>
              </w:rPr>
              <w:t>传播</w:t>
            </w:r>
            <w:r>
              <w:rPr>
                <w:rFonts w:hint="eastAsia" w:ascii="楷体" w:hAnsi="楷体" w:eastAsia="楷体" w:cs="楷体"/>
                <w:b/>
                <w:bCs/>
                <w:color w:val="000000"/>
                <w:spacing w:val="-10"/>
                <w:sz w:val="24"/>
                <w:szCs w:val="18"/>
                <w:lang w:val="en-US" w:eastAsia="zh-CN"/>
              </w:rPr>
              <w:t>量最高</w:t>
            </w:r>
            <w:r>
              <w:rPr>
                <w:rFonts w:hint="eastAsia" w:ascii="楷体" w:hAnsi="楷体" w:eastAsia="楷体" w:cs="楷体"/>
                <w:b/>
                <w:bCs/>
                <w:color w:val="000000"/>
                <w:sz w:val="24"/>
                <w:szCs w:val="18"/>
              </w:rPr>
              <w:t>平台</w:t>
            </w:r>
          </w:p>
          <w:p w14:paraId="436EEDCF">
            <w:pPr>
              <w:jc w:val="center"/>
              <w:rPr>
                <w:rFonts w:hint="eastAsia" w:ascii="楷体" w:hAnsi="楷体" w:eastAsia="楷体" w:cs="楷体"/>
                <w:b/>
                <w:bCs/>
                <w:color w:val="000000"/>
                <w:sz w:val="24"/>
                <w:szCs w:val="18"/>
                <w:lang w:val="en-US" w:eastAsia="zh-CN"/>
              </w:rPr>
            </w:pPr>
            <w:r>
              <w:rPr>
                <w:rFonts w:hint="eastAsia" w:ascii="楷体" w:hAnsi="楷体" w:eastAsia="楷体" w:cs="楷体"/>
                <w:b/>
                <w:bCs/>
                <w:color w:val="000000"/>
                <w:sz w:val="24"/>
                <w:szCs w:val="18"/>
                <w:lang w:val="en-US" w:eastAsia="zh-CN"/>
              </w:rPr>
              <w:t>发布链接</w:t>
            </w:r>
          </w:p>
        </w:tc>
        <w:tc>
          <w:tcPr>
            <w:tcW w:w="7421" w:type="dxa"/>
            <w:gridSpan w:val="11"/>
            <w:tcBorders>
              <w:tl2br w:val="nil"/>
              <w:tr2bl w:val="nil"/>
            </w:tcBorders>
            <w:vAlign w:val="center"/>
          </w:tcPr>
          <w:p w14:paraId="10EAC8E2">
            <w:pPr>
              <w:spacing w:line="280" w:lineRule="exact"/>
              <w:rPr>
                <w:rFonts w:hint="eastAsia" w:ascii="仿宋" w:hAnsi="仿宋" w:eastAsia="仿宋"/>
                <w:color w:val="000000"/>
                <w:szCs w:val="21"/>
              </w:rPr>
            </w:pPr>
            <w:r>
              <w:rPr>
                <w:rFonts w:hint="eastAsia" w:ascii="仿宋" w:hAnsi="仿宋" w:eastAsia="仿宋" w:cs="仿宋"/>
                <w:color w:val="000000"/>
                <w:sz w:val="21"/>
                <w:szCs w:val="21"/>
              </w:rPr>
              <w:t>https://haokan.baidu.com/v?vid=2080326452884626601</w:t>
            </w:r>
          </w:p>
        </w:tc>
      </w:tr>
      <w:tr w14:paraId="5E561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exact"/>
        </w:trPr>
        <w:tc>
          <w:tcPr>
            <w:tcW w:w="992" w:type="dxa"/>
            <w:vMerge w:val="continue"/>
            <w:tcBorders>
              <w:tl2br w:val="nil"/>
              <w:tr2bl w:val="nil"/>
            </w:tcBorders>
            <w:vAlign w:val="center"/>
          </w:tcPr>
          <w:p w14:paraId="40CAB92D">
            <w:pPr>
              <w:spacing w:line="320" w:lineRule="exact"/>
              <w:jc w:val="center"/>
              <w:rPr>
                <w:rFonts w:hint="eastAsia" w:ascii="华文中宋" w:hAnsi="华文中宋" w:eastAsia="华文中宋"/>
                <w:color w:val="000000"/>
                <w:sz w:val="28"/>
              </w:rPr>
            </w:pPr>
          </w:p>
        </w:tc>
        <w:tc>
          <w:tcPr>
            <w:tcW w:w="1400" w:type="dxa"/>
            <w:gridSpan w:val="5"/>
            <w:tcBorders>
              <w:tl2br w:val="nil"/>
              <w:tr2bl w:val="nil"/>
            </w:tcBorders>
            <w:shd w:val="clear" w:color="auto" w:fill="auto"/>
            <w:vAlign w:val="center"/>
          </w:tcPr>
          <w:p w14:paraId="359C1F04">
            <w:pPr>
              <w:spacing w:line="240" w:lineRule="exact"/>
              <w:jc w:val="center"/>
              <w:rPr>
                <w:rFonts w:hint="eastAsia" w:ascii="楷体" w:hAnsi="楷体" w:eastAsia="楷体" w:cs="楷体"/>
                <w:b/>
                <w:bCs/>
                <w:color w:val="000000"/>
                <w:sz w:val="21"/>
                <w:szCs w:val="21"/>
                <w:lang w:val="en-US" w:eastAsia="zh-CN"/>
              </w:rPr>
            </w:pPr>
            <w:r>
              <w:rPr>
                <w:rFonts w:hint="eastAsia" w:ascii="楷体" w:hAnsi="楷体" w:eastAsia="楷体" w:cs="楷体"/>
                <w:b/>
                <w:bCs/>
                <w:color w:val="000000"/>
                <w:sz w:val="21"/>
                <w:szCs w:val="21"/>
                <w:lang w:val="en-US" w:eastAsia="zh-CN"/>
              </w:rPr>
              <w:t>该平台</w:t>
            </w:r>
          </w:p>
          <w:p w14:paraId="0CD586AA">
            <w:pPr>
              <w:spacing w:line="240" w:lineRule="exact"/>
              <w:jc w:val="center"/>
              <w:rPr>
                <w:rFonts w:hint="default" w:ascii="仿宋" w:hAnsi="仿宋" w:eastAsia="楷体" w:cstheme="minorBidi"/>
                <w:color w:val="000000"/>
                <w:kern w:val="2"/>
                <w:sz w:val="21"/>
                <w:szCs w:val="21"/>
                <w:lang w:val="en-US" w:eastAsia="zh-CN" w:bidi="ar-SA"/>
              </w:rPr>
            </w:pPr>
            <w:r>
              <w:rPr>
                <w:rFonts w:hint="eastAsia" w:ascii="楷体" w:hAnsi="楷体" w:eastAsia="楷体" w:cs="楷体"/>
                <w:b/>
                <w:bCs/>
                <w:color w:val="000000"/>
                <w:sz w:val="21"/>
                <w:szCs w:val="21"/>
                <w:lang w:val="en-US" w:eastAsia="zh-CN"/>
              </w:rPr>
              <w:t>传播量</w:t>
            </w:r>
          </w:p>
        </w:tc>
        <w:tc>
          <w:tcPr>
            <w:tcW w:w="1323" w:type="dxa"/>
            <w:gridSpan w:val="2"/>
            <w:tcBorders>
              <w:tl2br w:val="nil"/>
              <w:tr2bl w:val="nil"/>
            </w:tcBorders>
            <w:shd w:val="clear" w:color="auto" w:fill="auto"/>
            <w:vAlign w:val="center"/>
          </w:tcPr>
          <w:p w14:paraId="769BF1DC">
            <w:pPr>
              <w:spacing w:line="240" w:lineRule="exact"/>
              <w:rPr>
                <w:rFonts w:hint="default" w:ascii="仿宋" w:hAnsi="仿宋" w:eastAsia="仿宋" w:cstheme="minorBidi"/>
                <w:color w:val="000000"/>
                <w:kern w:val="2"/>
                <w:sz w:val="21"/>
                <w:szCs w:val="21"/>
                <w:lang w:val="en-US" w:eastAsia="zh-CN" w:bidi="ar-SA"/>
              </w:rPr>
            </w:pPr>
            <w:r>
              <w:rPr>
                <w:rFonts w:hint="eastAsia" w:ascii="仿宋" w:hAnsi="仿宋" w:eastAsia="仿宋" w:cstheme="minorBidi"/>
                <w:color w:val="000000"/>
                <w:kern w:val="2"/>
                <w:sz w:val="21"/>
                <w:szCs w:val="21"/>
                <w:lang w:val="en-US" w:eastAsia="zh-CN" w:bidi="ar-SA"/>
              </w:rPr>
              <w:t>8.2w</w:t>
            </w:r>
          </w:p>
        </w:tc>
        <w:tc>
          <w:tcPr>
            <w:tcW w:w="1005" w:type="dxa"/>
            <w:gridSpan w:val="2"/>
            <w:tcBorders>
              <w:tl2br w:val="nil"/>
              <w:tr2bl w:val="nil"/>
            </w:tcBorders>
            <w:shd w:val="clear" w:color="auto" w:fill="auto"/>
            <w:vAlign w:val="center"/>
          </w:tcPr>
          <w:p w14:paraId="40B3F7F4">
            <w:pPr>
              <w:spacing w:line="240" w:lineRule="exact"/>
              <w:jc w:val="center"/>
              <w:rPr>
                <w:rFonts w:hint="eastAsia" w:ascii="楷体" w:hAnsi="楷体" w:eastAsia="楷体" w:cs="楷体"/>
                <w:b/>
                <w:bCs/>
                <w:color w:val="000000"/>
                <w:sz w:val="21"/>
                <w:szCs w:val="21"/>
                <w:lang w:val="en-US" w:eastAsia="zh-CN"/>
              </w:rPr>
            </w:pPr>
            <w:r>
              <w:rPr>
                <w:rFonts w:hint="eastAsia" w:ascii="楷体" w:hAnsi="楷体" w:eastAsia="楷体" w:cs="楷体"/>
                <w:b/>
                <w:bCs/>
                <w:color w:val="000000"/>
                <w:sz w:val="21"/>
                <w:szCs w:val="21"/>
                <w:lang w:val="en-US" w:eastAsia="zh-CN"/>
              </w:rPr>
              <w:t>该平台</w:t>
            </w:r>
          </w:p>
          <w:p w14:paraId="579A7769">
            <w:pPr>
              <w:spacing w:line="240" w:lineRule="exact"/>
              <w:jc w:val="center"/>
              <w:rPr>
                <w:rFonts w:hint="default" w:ascii="仿宋" w:hAnsi="仿宋" w:eastAsia="仿宋" w:cstheme="minorBidi"/>
                <w:color w:val="000000"/>
                <w:kern w:val="2"/>
                <w:sz w:val="21"/>
                <w:szCs w:val="21"/>
                <w:lang w:val="en-US" w:eastAsia="zh-CN" w:bidi="ar-SA"/>
              </w:rPr>
            </w:pPr>
            <w:r>
              <w:rPr>
                <w:rFonts w:hint="eastAsia" w:ascii="楷体" w:hAnsi="楷体" w:eastAsia="楷体" w:cs="楷体"/>
                <w:b/>
                <w:bCs/>
                <w:color w:val="000000"/>
                <w:sz w:val="21"/>
                <w:szCs w:val="21"/>
              </w:rPr>
              <w:t>互动</w:t>
            </w:r>
            <w:r>
              <w:rPr>
                <w:rFonts w:hint="eastAsia" w:ascii="楷体" w:hAnsi="楷体" w:eastAsia="楷体" w:cs="楷体"/>
                <w:b/>
                <w:bCs/>
                <w:color w:val="000000"/>
                <w:sz w:val="21"/>
                <w:szCs w:val="21"/>
                <w:lang w:val="en-US" w:eastAsia="zh-CN"/>
              </w:rPr>
              <w:t>量</w:t>
            </w:r>
          </w:p>
        </w:tc>
        <w:tc>
          <w:tcPr>
            <w:tcW w:w="2439" w:type="dxa"/>
            <w:gridSpan w:val="4"/>
            <w:tcBorders>
              <w:tl2br w:val="nil"/>
              <w:tr2bl w:val="nil"/>
            </w:tcBorders>
            <w:vAlign w:val="center"/>
          </w:tcPr>
          <w:p w14:paraId="5BE3E5F6">
            <w:pPr>
              <w:spacing w:line="240" w:lineRule="exact"/>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无法统计</w:t>
            </w:r>
          </w:p>
        </w:tc>
        <w:tc>
          <w:tcPr>
            <w:tcW w:w="1122" w:type="dxa"/>
            <w:gridSpan w:val="2"/>
            <w:tcBorders>
              <w:tl2br w:val="nil"/>
              <w:tr2bl w:val="nil"/>
            </w:tcBorders>
            <w:vAlign w:val="center"/>
          </w:tcPr>
          <w:p w14:paraId="50FA0102">
            <w:pPr>
              <w:spacing w:line="240" w:lineRule="exact"/>
              <w:rPr>
                <w:rFonts w:hint="eastAsia" w:ascii="仿宋" w:hAnsi="仿宋" w:eastAsia="仿宋"/>
                <w:color w:val="000000"/>
                <w:sz w:val="21"/>
                <w:szCs w:val="21"/>
              </w:rPr>
            </w:pPr>
            <w:r>
              <w:rPr>
                <w:rFonts w:hint="eastAsia" w:ascii="楷体" w:hAnsi="楷体" w:eastAsia="楷体" w:cs="楷体"/>
                <w:b/>
                <w:bCs/>
                <w:color w:val="000000"/>
                <w:sz w:val="21"/>
                <w:szCs w:val="21"/>
                <w:lang w:val="en-US" w:eastAsia="zh-CN"/>
              </w:rPr>
              <w:t>全网总传播量（万）</w:t>
            </w:r>
          </w:p>
        </w:tc>
        <w:tc>
          <w:tcPr>
            <w:tcW w:w="1532" w:type="dxa"/>
            <w:tcBorders>
              <w:tl2br w:val="nil"/>
              <w:tr2bl w:val="nil"/>
            </w:tcBorders>
            <w:vAlign w:val="center"/>
          </w:tcPr>
          <w:p w14:paraId="03DD5D6F">
            <w:pPr>
              <w:spacing w:line="240" w:lineRule="exact"/>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13w+</w:t>
            </w:r>
          </w:p>
        </w:tc>
      </w:tr>
      <w:tr w14:paraId="06510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2" w:hRule="exact"/>
        </w:trPr>
        <w:tc>
          <w:tcPr>
            <w:tcW w:w="992" w:type="dxa"/>
            <w:tcBorders>
              <w:tl2br w:val="nil"/>
              <w:tr2bl w:val="nil"/>
            </w:tcBorders>
            <w:vAlign w:val="center"/>
          </w:tcPr>
          <w:p w14:paraId="7C530D91">
            <w:pPr>
              <w:widowControl w:val="0"/>
              <w:spacing w:line="320" w:lineRule="exact"/>
              <w:jc w:val="center"/>
              <w:rPr>
                <w:rFonts w:ascii="华文中宋" w:hAnsi="华文中宋" w:eastAsia="华文中宋"/>
                <w:sz w:val="28"/>
              </w:rPr>
            </w:pPr>
            <w:r>
              <w:rPr>
                <w:rFonts w:hint="eastAsia" w:ascii="华文中宋" w:hAnsi="华文中宋" w:eastAsia="华文中宋"/>
                <w:sz w:val="28"/>
              </w:rPr>
              <w:t xml:space="preserve">  ︵</w:t>
            </w:r>
          </w:p>
          <w:p w14:paraId="2AF5CE53">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初推</w:t>
            </w:r>
          </w:p>
          <w:p w14:paraId="70360EC6">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评荐</w:t>
            </w:r>
          </w:p>
          <w:p w14:paraId="25BBAAD6">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评理</w:t>
            </w:r>
          </w:p>
          <w:p w14:paraId="1F394BD1">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语由</w:t>
            </w:r>
          </w:p>
          <w:p w14:paraId="1BE3FC92">
            <w:pPr>
              <w:spacing w:line="240" w:lineRule="exact"/>
              <w:jc w:val="center"/>
              <w:rPr>
                <w:rFonts w:hint="default" w:ascii="华文中宋" w:hAnsi="华文中宋" w:eastAsia="华文中宋"/>
                <w:color w:val="000000"/>
                <w:sz w:val="28"/>
                <w:lang w:val="en-US" w:eastAsia="zh-CN"/>
              </w:rPr>
            </w:pPr>
            <w:r>
              <w:rPr>
                <w:rFonts w:hint="eastAsia" w:ascii="华文中宋" w:hAnsi="华文中宋" w:eastAsia="华文中宋"/>
                <w:sz w:val="28"/>
                <w:lang w:val="en-US" w:eastAsia="zh-CN"/>
              </w:rPr>
              <w:t xml:space="preserve">  </w:t>
            </w:r>
            <w:r>
              <w:rPr>
                <w:rFonts w:hint="eastAsia" w:ascii="华文中宋" w:hAnsi="华文中宋" w:eastAsia="华文中宋"/>
                <w:sz w:val="28"/>
              </w:rPr>
              <w:t>︶</w:t>
            </w:r>
          </w:p>
        </w:tc>
        <w:tc>
          <w:tcPr>
            <w:tcW w:w="8821" w:type="dxa"/>
            <w:gridSpan w:val="16"/>
            <w:tcBorders>
              <w:tl2br w:val="nil"/>
              <w:tr2bl w:val="nil"/>
            </w:tcBorders>
            <w:vAlign w:val="center"/>
          </w:tcPr>
          <w:p w14:paraId="7367EBF8">
            <w:pPr>
              <w:spacing w:line="240" w:lineRule="auto"/>
              <w:ind w:firstLine="0" w:firstLineChars="0"/>
              <w:rPr>
                <w:rFonts w:hint="eastAsia" w:ascii="仿宋" w:hAnsi="仿宋" w:eastAsia="仿宋" w:cs="仿宋"/>
                <w:color w:val="000000"/>
                <w:sz w:val="21"/>
                <w:szCs w:val="21"/>
                <w:lang w:bidi="ar"/>
              </w:rPr>
            </w:pPr>
          </w:p>
          <w:p w14:paraId="179A0276">
            <w:pPr>
              <w:keepNext w:val="0"/>
              <w:keepLines w:val="0"/>
              <w:pageBreakBefore w:val="0"/>
              <w:widowControl w:val="0"/>
              <w:kinsoku/>
              <w:wordWrap/>
              <w:overflowPunct/>
              <w:topLinePunct w:val="0"/>
              <w:autoSpaceDE/>
              <w:autoSpaceDN/>
              <w:bidi w:val="0"/>
              <w:adjustRightInd/>
              <w:snapToGrid/>
              <w:spacing w:line="240" w:lineRule="exact"/>
              <w:ind w:firstLine="640" w:firstLineChars="200"/>
              <w:textAlignment w:val="auto"/>
              <w:rPr>
                <w:rFonts w:hint="eastAsia" w:ascii="华文中宋" w:hAnsi="华文中宋" w:eastAsia="华文中宋"/>
                <w:color w:val="000000"/>
                <w:spacing w:val="-2"/>
                <w:sz w:val="28"/>
              </w:rPr>
            </w:pPr>
            <w:r>
              <w:drawing>
                <wp:anchor distT="0" distB="0" distL="114300" distR="114300" simplePos="0" relativeHeight="251660288" behindDoc="0" locked="0" layoutInCell="1" allowOverlap="1">
                  <wp:simplePos x="0" y="0"/>
                  <wp:positionH relativeFrom="column">
                    <wp:posOffset>3876675</wp:posOffset>
                  </wp:positionH>
                  <wp:positionV relativeFrom="paragraph">
                    <wp:posOffset>788670</wp:posOffset>
                  </wp:positionV>
                  <wp:extent cx="1190625" cy="485775"/>
                  <wp:effectExtent l="0" t="0" r="9525"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190625" cy="485775"/>
                          </a:xfrm>
                          <a:prstGeom prst="rect">
                            <a:avLst/>
                          </a:prstGeom>
                          <a:noFill/>
                          <a:ln>
                            <a:noFill/>
                          </a:ln>
                        </pic:spPr>
                      </pic:pic>
                    </a:graphicData>
                  </a:graphic>
                </wp:anchor>
              </w:drawing>
            </w:r>
            <w:r>
              <w:rPr>
                <w:rFonts w:hint="eastAsia" w:ascii="仿宋" w:hAnsi="仿宋" w:eastAsia="仿宋" w:cs="仿宋"/>
                <w:color w:val="000000"/>
                <w:sz w:val="21"/>
                <w:szCs w:val="21"/>
              </w:rPr>
              <w:t>记者以微纪录片与第一视角Vlog交织的形态，为高原铁路这一硬核题材找到了有温度的呈现方式，既有纪录片的沉稳质感，又有Vlog的代入感与亲和力。镜头上，善于用细节说话——雪夜灯光下钢轨前的背影、正面吊里如数家珍的操作讲解、陡峭狭窄的钢桁梁，让“坚守”二字变得可触可感。作品节奏张弛有度，人物故事与现场实景切换自然，情感层层递进却不煽情。这种以影像语言驱动叙事、以真实细节打动人心的手法，体现了作者扎实的专业功底，也为同类型题材报道提供了有价值的参照。</w:t>
            </w:r>
            <w:r>
              <w:rPr>
                <w:rFonts w:hint="eastAsia" w:ascii="华文中宋" w:hAnsi="华文中宋" w:eastAsia="华文中宋"/>
                <w:color w:val="000000"/>
                <w:spacing w:val="-2"/>
                <w:sz w:val="28"/>
              </w:rPr>
              <w:t xml:space="preserve"> </w:t>
            </w:r>
          </w:p>
          <w:p w14:paraId="5F88007D">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华文中宋" w:hAnsi="华文中宋" w:eastAsia="华文中宋"/>
                <w:color w:val="000000"/>
                <w:spacing w:val="-2"/>
                <w:sz w:val="28"/>
              </w:rPr>
            </w:pPr>
          </w:p>
          <w:p w14:paraId="73A578A8">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华文中宋" w:hAnsi="华文中宋" w:eastAsia="华文中宋"/>
                <w:color w:val="000000"/>
                <w:spacing w:val="-2"/>
                <w:sz w:val="28"/>
              </w:rPr>
            </w:pPr>
          </w:p>
          <w:p w14:paraId="26057BBE">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华文中宋" w:hAnsi="华文中宋" w:eastAsia="华文中宋"/>
                <w:color w:val="000000"/>
                <w:spacing w:val="-2"/>
                <w:sz w:val="28"/>
              </w:rPr>
            </w:pPr>
          </w:p>
          <w:p w14:paraId="32A60C37">
            <w:pPr>
              <w:keepNext w:val="0"/>
              <w:keepLines w:val="0"/>
              <w:pageBreakBefore w:val="0"/>
              <w:widowControl w:val="0"/>
              <w:kinsoku/>
              <w:wordWrap/>
              <w:overflowPunct/>
              <w:topLinePunct w:val="0"/>
              <w:autoSpaceDE/>
              <w:autoSpaceDN/>
              <w:bidi w:val="0"/>
              <w:adjustRightInd/>
              <w:snapToGrid/>
              <w:spacing w:line="240" w:lineRule="exact"/>
              <w:ind w:firstLine="640" w:firstLineChars="200"/>
              <w:textAlignment w:val="auto"/>
              <w:rPr>
                <w:rFonts w:hint="eastAsia" w:ascii="华文中宋" w:hAnsi="华文中宋" w:eastAsia="华文中宋"/>
                <w:color w:val="000000"/>
                <w:spacing w:val="-2"/>
                <w:sz w:val="28"/>
              </w:rPr>
            </w:pPr>
            <w:r>
              <w:drawing>
                <wp:anchor distT="0" distB="0" distL="114300" distR="114300" simplePos="0" relativeHeight="251661312" behindDoc="0" locked="0" layoutInCell="1" allowOverlap="1">
                  <wp:simplePos x="0" y="0"/>
                  <wp:positionH relativeFrom="column">
                    <wp:posOffset>4102100</wp:posOffset>
                  </wp:positionH>
                  <wp:positionV relativeFrom="paragraph">
                    <wp:posOffset>773430</wp:posOffset>
                  </wp:positionV>
                  <wp:extent cx="1200150" cy="495300"/>
                  <wp:effectExtent l="0" t="0" r="0" b="0"/>
                  <wp:wrapSquare wrapText="bothSides"/>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1200150" cy="495300"/>
                          </a:xfrm>
                          <a:prstGeom prst="rect">
                            <a:avLst/>
                          </a:prstGeom>
                          <a:noFill/>
                          <a:ln>
                            <a:noFill/>
                          </a:ln>
                        </pic:spPr>
                      </pic:pic>
                    </a:graphicData>
                  </a:graphic>
                </wp:anchor>
              </w:drawing>
            </w:r>
            <w:r>
              <w:rPr>
                <w:rFonts w:hint="eastAsia" w:ascii="仿宋" w:hAnsi="仿宋" w:eastAsia="仿宋" w:cs="仿宋"/>
                <w:color w:val="000000"/>
                <w:sz w:val="21"/>
                <w:szCs w:val="21"/>
              </w:rPr>
              <w:t>该作品选取的三位人物极具典型性与代际跨度。“老把式”陈永祥代表的是扎根精神，正面吊司机梁立代表的是平凡岗位的非凡价值，“90后”唐浩鹏则代表了新一代铁路人的接续与担当。三个年龄段、三种工种、同样的坚守，恰好构成了一幅完整的高原铁路人群像。报道没有刻意拔高，而是用平视的镜头记录他们的日常——那些重复了千万次的动作、那些与高反共存的普通一天，反而更显厚重。在“天堑变通途”的宏大背景下，这个报道让普通一线劳动者走到了聚光灯下，具有重要的时代记录意义。</w:t>
            </w:r>
          </w:p>
          <w:p w14:paraId="31875D0E">
            <w:pPr>
              <w:keepNext w:val="0"/>
              <w:keepLines w:val="0"/>
              <w:pageBreakBefore w:val="0"/>
              <w:widowControl w:val="0"/>
              <w:kinsoku/>
              <w:wordWrap/>
              <w:overflowPunct/>
              <w:topLinePunct w:val="0"/>
              <w:autoSpaceDE/>
              <w:autoSpaceDN/>
              <w:bidi w:val="0"/>
              <w:adjustRightInd/>
              <w:snapToGrid/>
              <w:spacing w:line="240" w:lineRule="exact"/>
              <w:ind w:firstLine="552" w:firstLineChars="200"/>
              <w:textAlignment w:val="auto"/>
              <w:rPr>
                <w:rFonts w:hint="eastAsia" w:ascii="华文中宋" w:hAnsi="华文中宋" w:eastAsia="华文中宋"/>
                <w:color w:val="000000"/>
                <w:spacing w:val="-2"/>
                <w:sz w:val="28"/>
              </w:rPr>
            </w:pPr>
            <w:r>
              <w:rPr>
                <w:rFonts w:hint="eastAsia" w:ascii="华文中宋" w:hAnsi="华文中宋" w:eastAsia="华文中宋"/>
                <w:color w:val="000000"/>
                <w:spacing w:val="-2"/>
                <w:sz w:val="28"/>
              </w:rPr>
              <w:t xml:space="preserve">                     </w:t>
            </w:r>
          </w:p>
          <w:p w14:paraId="3109BF00">
            <w:pPr>
              <w:spacing w:line="360" w:lineRule="exact"/>
              <w:rPr>
                <w:rFonts w:hint="eastAsia" w:ascii="华文中宋" w:hAnsi="华文中宋" w:eastAsia="华文中宋"/>
                <w:color w:val="000000"/>
                <w:sz w:val="28"/>
              </w:rPr>
            </w:pPr>
            <w:r>
              <w:rPr>
                <w:rFonts w:hint="eastAsia" w:ascii="华文中宋" w:hAnsi="华文中宋" w:eastAsia="华文中宋"/>
                <w:color w:val="000000"/>
                <w:spacing w:val="-2"/>
                <w:sz w:val="28"/>
              </w:rPr>
              <w:t xml:space="preserve">                           签名</w:t>
            </w:r>
            <w:r>
              <w:rPr>
                <w:rFonts w:hint="eastAsia" w:ascii="华文中宋" w:hAnsi="华文中宋" w:eastAsia="华文中宋"/>
                <w:color w:val="000000"/>
                <w:sz w:val="28"/>
              </w:rPr>
              <w:t>（盖单位公章）</w:t>
            </w:r>
            <w:r>
              <w:rPr>
                <w:rFonts w:hint="eastAsia" w:ascii="华文中宋" w:hAnsi="华文中宋" w:eastAsia="华文中宋"/>
                <w:color w:val="000000"/>
                <w:spacing w:val="-2"/>
                <w:sz w:val="28"/>
              </w:rPr>
              <w:t>：</w:t>
            </w:r>
          </w:p>
          <w:p w14:paraId="5DF11F77">
            <w:pPr>
              <w:rPr>
                <w:rFonts w:hint="eastAsia" w:ascii="仿宋" w:hAnsi="仿宋" w:eastAsia="仿宋"/>
                <w:color w:val="000000"/>
                <w:szCs w:val="21"/>
              </w:rPr>
            </w:pPr>
            <w:r>
              <w:rPr>
                <w:rFonts w:hint="eastAsia" w:ascii="方正仿宋_GB2312"/>
                <w:color w:val="000000"/>
                <w:sz w:val="28"/>
              </w:rPr>
              <w:t xml:space="preserve">                                              </w:t>
            </w:r>
            <w:r>
              <w:rPr>
                <w:rFonts w:ascii="华文中宋" w:hAnsi="华文中宋" w:eastAsia="华文中宋"/>
                <w:color w:val="000000"/>
                <w:sz w:val="28"/>
              </w:rPr>
              <w:t xml:space="preserve">年  </w:t>
            </w:r>
            <w:r>
              <w:rPr>
                <w:rFonts w:hint="eastAsia" w:ascii="华文中宋" w:hAnsi="华文中宋" w:eastAsia="华文中宋"/>
                <w:color w:val="000000"/>
                <w:sz w:val="28"/>
              </w:rPr>
              <w:t>月</w:t>
            </w:r>
            <w:r>
              <w:rPr>
                <w:rFonts w:ascii="华文中宋" w:hAnsi="华文中宋" w:eastAsia="华文中宋"/>
                <w:color w:val="000000"/>
                <w:sz w:val="28"/>
              </w:rPr>
              <w:t xml:space="preserve">  </w:t>
            </w:r>
            <w:r>
              <w:rPr>
                <w:rFonts w:hint="eastAsia" w:ascii="华文中宋" w:hAnsi="华文中宋" w:eastAsia="华文中宋"/>
                <w:color w:val="000000"/>
                <w:sz w:val="28"/>
              </w:rPr>
              <w:t>日</w:t>
            </w:r>
          </w:p>
        </w:tc>
      </w:tr>
      <w:tr w14:paraId="11E63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5" w:hRule="atLeast"/>
          <w:jc w:val="center"/>
        </w:trPr>
        <w:tc>
          <w:tcPr>
            <w:tcW w:w="9813" w:type="dxa"/>
            <w:gridSpan w:val="17"/>
            <w:tcBorders>
              <w:tl2br w:val="nil"/>
              <w:tr2bl w:val="nil"/>
            </w:tcBorders>
            <w:noWrap w:val="0"/>
            <w:vAlign w:val="center"/>
          </w:tcPr>
          <w:p w14:paraId="427B2E60">
            <w:pPr>
              <w:widowControl w:val="0"/>
              <w:spacing w:line="360" w:lineRule="exact"/>
              <w:jc w:val="center"/>
              <w:rPr>
                <w:rFonts w:hint="eastAsia" w:ascii="华文中宋" w:hAnsi="华文中宋" w:eastAsia="华文中宋"/>
                <w:sz w:val="28"/>
                <w:szCs w:val="28"/>
              </w:rPr>
            </w:pPr>
            <w:r>
              <w:rPr>
                <w:rFonts w:hint="eastAsia" w:ascii="黑体" w:hAnsi="黑体" w:eastAsia="黑体" w:cs="黑体"/>
                <w:sz w:val="28"/>
                <w:szCs w:val="28"/>
              </w:rPr>
              <w:t>以下仅自荐作品填报</w:t>
            </w:r>
          </w:p>
        </w:tc>
      </w:tr>
      <w:tr w14:paraId="5C45B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2133" w:type="dxa"/>
            <w:gridSpan w:val="5"/>
            <w:tcBorders>
              <w:tl2br w:val="nil"/>
              <w:tr2bl w:val="nil"/>
            </w:tcBorders>
            <w:noWrap w:val="0"/>
            <w:vAlign w:val="center"/>
          </w:tcPr>
          <w:p w14:paraId="2AE45DD7">
            <w:pPr>
              <w:widowControl w:val="0"/>
              <w:spacing w:line="320" w:lineRule="exact"/>
              <w:jc w:val="center"/>
              <w:rPr>
                <w:rFonts w:hint="eastAsia" w:ascii="华文中宋" w:hAnsi="华文中宋" w:eastAsia="华文中宋" w:cs="华文中宋"/>
                <w:color w:val="000000"/>
                <w:sz w:val="28"/>
                <w:lang w:bidi="ar"/>
              </w:rPr>
            </w:pPr>
            <w:r>
              <w:rPr>
                <w:rFonts w:hint="eastAsia" w:ascii="华文中宋" w:hAnsi="华文中宋" w:eastAsia="华文中宋" w:cs="华文中宋"/>
                <w:color w:val="000000"/>
                <w:sz w:val="28"/>
                <w:lang w:bidi="ar"/>
              </w:rPr>
              <w:t>自荐作品所</w:t>
            </w:r>
          </w:p>
          <w:p w14:paraId="03BC2190">
            <w:pPr>
              <w:widowControl w:val="0"/>
              <w:spacing w:line="320" w:lineRule="exact"/>
              <w:jc w:val="center"/>
              <w:rPr>
                <w:rFonts w:ascii="华文中宋" w:hAnsi="华文中宋" w:eastAsia="华文中宋"/>
                <w:sz w:val="28"/>
                <w:szCs w:val="28"/>
              </w:rPr>
            </w:pPr>
            <w:r>
              <w:rPr>
                <w:rFonts w:hint="eastAsia" w:ascii="华文中宋" w:hAnsi="华文中宋" w:eastAsia="华文中宋" w:cs="华文中宋"/>
                <w:color w:val="000000"/>
                <w:sz w:val="28"/>
                <w:lang w:bidi="ar"/>
              </w:rPr>
              <w:t>获奖项名称</w:t>
            </w:r>
          </w:p>
        </w:tc>
        <w:tc>
          <w:tcPr>
            <w:tcW w:w="7680" w:type="dxa"/>
            <w:gridSpan w:val="12"/>
            <w:tcBorders>
              <w:tl2br w:val="nil"/>
              <w:tr2bl w:val="nil"/>
            </w:tcBorders>
            <w:noWrap w:val="0"/>
            <w:vAlign w:val="center"/>
          </w:tcPr>
          <w:p w14:paraId="4F63C3D5">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华文中宋" w:hAnsi="华文中宋" w:eastAsia="华文中宋"/>
                <w:color w:val="000000"/>
                <w:sz w:val="28"/>
                <w:lang w:val="en-US" w:eastAsia="zh-CN"/>
              </w:rPr>
            </w:pPr>
            <w:r>
              <w:rPr>
                <w:rFonts w:hint="eastAsia" w:ascii="仿宋" w:hAnsi="仿宋" w:eastAsia="仿宋" w:cs="仿宋"/>
                <w:color w:val="000000"/>
                <w:sz w:val="24"/>
                <w:szCs w:val="18"/>
                <w:lang w:val="en-US" w:eastAsia="zh-CN"/>
              </w:rPr>
              <w:t>中国记协“我的代表作”第六十一期入选作品</w:t>
            </w:r>
          </w:p>
        </w:tc>
      </w:tr>
      <w:tr w14:paraId="19613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jc w:val="center"/>
        </w:trPr>
        <w:tc>
          <w:tcPr>
            <w:tcW w:w="1240" w:type="dxa"/>
            <w:gridSpan w:val="2"/>
            <w:vMerge w:val="restart"/>
            <w:tcBorders>
              <w:tl2br w:val="nil"/>
              <w:tr2bl w:val="nil"/>
            </w:tcBorders>
            <w:noWrap w:val="0"/>
            <w:vAlign w:val="center"/>
          </w:tcPr>
          <w:p w14:paraId="4721EA63">
            <w:pPr>
              <w:widowControl w:val="0"/>
              <w:spacing w:line="360" w:lineRule="exact"/>
              <w:jc w:val="center"/>
              <w:rPr>
                <w:rFonts w:hint="eastAsia" w:ascii="华文中宋" w:hAnsi="华文中宋" w:eastAsia="华文中宋"/>
                <w:sz w:val="28"/>
                <w:szCs w:val="28"/>
              </w:rPr>
            </w:pPr>
            <w:r>
              <w:rPr>
                <w:rFonts w:hint="eastAsia" w:ascii="华文中宋" w:hAnsi="华文中宋" w:eastAsia="华文中宋"/>
                <w:sz w:val="28"/>
                <w:szCs w:val="28"/>
              </w:rPr>
              <w:t>推</w:t>
            </w:r>
          </w:p>
          <w:p w14:paraId="4AD22A4F">
            <w:pPr>
              <w:widowControl w:val="0"/>
              <w:spacing w:line="360" w:lineRule="exact"/>
              <w:jc w:val="center"/>
              <w:rPr>
                <w:rFonts w:hint="eastAsia" w:ascii="华文中宋" w:hAnsi="华文中宋" w:eastAsia="华文中宋"/>
                <w:sz w:val="28"/>
                <w:szCs w:val="28"/>
              </w:rPr>
            </w:pPr>
            <w:r>
              <w:rPr>
                <w:rFonts w:hint="eastAsia" w:ascii="华文中宋" w:hAnsi="华文中宋" w:eastAsia="华文中宋"/>
                <w:sz w:val="28"/>
                <w:szCs w:val="28"/>
              </w:rPr>
              <w:t>荐</w:t>
            </w:r>
          </w:p>
          <w:p w14:paraId="11685204">
            <w:pPr>
              <w:widowControl w:val="0"/>
              <w:spacing w:line="360" w:lineRule="exact"/>
              <w:jc w:val="center"/>
              <w:rPr>
                <w:rFonts w:hint="eastAsia" w:ascii="华文中宋" w:hAnsi="华文中宋" w:eastAsia="华文中宋"/>
                <w:sz w:val="28"/>
                <w:szCs w:val="28"/>
              </w:rPr>
            </w:pPr>
            <w:r>
              <w:rPr>
                <w:rFonts w:hint="eastAsia" w:ascii="华文中宋" w:hAnsi="华文中宋" w:eastAsia="华文中宋"/>
                <w:sz w:val="28"/>
                <w:szCs w:val="28"/>
              </w:rPr>
              <w:t>人</w:t>
            </w:r>
          </w:p>
        </w:tc>
        <w:tc>
          <w:tcPr>
            <w:tcW w:w="893" w:type="dxa"/>
            <w:gridSpan w:val="3"/>
            <w:tcBorders>
              <w:tl2br w:val="nil"/>
              <w:tr2bl w:val="nil"/>
            </w:tcBorders>
            <w:noWrap w:val="0"/>
            <w:vAlign w:val="center"/>
          </w:tcPr>
          <w:p w14:paraId="104D06A6">
            <w:pPr>
              <w:widowControl w:val="0"/>
              <w:spacing w:line="320" w:lineRule="exact"/>
              <w:jc w:val="center"/>
              <w:rPr>
                <w:rFonts w:hint="eastAsia" w:ascii="华文中宋" w:hAnsi="华文中宋" w:eastAsia="华文中宋"/>
                <w:sz w:val="28"/>
                <w:szCs w:val="28"/>
              </w:rPr>
            </w:pPr>
            <w:r>
              <w:rPr>
                <w:rFonts w:hint="eastAsia" w:ascii="华文中宋" w:hAnsi="华文中宋" w:eastAsia="华文中宋" w:cs="华文中宋"/>
                <w:color w:val="000000"/>
                <w:sz w:val="28"/>
                <w:lang w:bidi="ar"/>
              </w:rPr>
              <w:t>姓名</w:t>
            </w:r>
          </w:p>
        </w:tc>
        <w:tc>
          <w:tcPr>
            <w:tcW w:w="1368" w:type="dxa"/>
            <w:gridSpan w:val="2"/>
            <w:tcBorders>
              <w:tl2br w:val="nil"/>
              <w:tr2bl w:val="nil"/>
            </w:tcBorders>
            <w:noWrap w:val="0"/>
            <w:vAlign w:val="center"/>
          </w:tcPr>
          <w:p w14:paraId="1F64E220">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华文中宋" w:hAnsi="华文中宋" w:eastAsia="华文中宋"/>
                <w:color w:val="000000"/>
                <w:sz w:val="28"/>
                <w:lang w:val="en-US" w:eastAsia="zh-CN"/>
              </w:rPr>
            </w:pPr>
            <w:r>
              <w:rPr>
                <w:rFonts w:hint="eastAsia" w:ascii="仿宋" w:hAnsi="仿宋" w:eastAsia="仿宋" w:cs="仿宋"/>
                <w:color w:val="000000"/>
                <w:sz w:val="24"/>
                <w:szCs w:val="18"/>
                <w:lang w:val="en-US" w:eastAsia="zh-CN"/>
              </w:rPr>
              <w:t>林琳</w:t>
            </w:r>
          </w:p>
        </w:tc>
        <w:tc>
          <w:tcPr>
            <w:tcW w:w="1176" w:type="dxa"/>
            <w:gridSpan w:val="2"/>
            <w:tcBorders>
              <w:tl2br w:val="nil"/>
              <w:tr2bl w:val="nil"/>
            </w:tcBorders>
            <w:noWrap w:val="0"/>
            <w:vAlign w:val="center"/>
          </w:tcPr>
          <w:p w14:paraId="5CA19914">
            <w:pPr>
              <w:widowControl w:val="0"/>
              <w:spacing w:line="340" w:lineRule="exact"/>
              <w:jc w:val="center"/>
              <w:rPr>
                <w:rFonts w:hint="eastAsia" w:ascii="华文中宋" w:hAnsi="华文中宋" w:eastAsia="华文中宋"/>
                <w:sz w:val="28"/>
                <w:szCs w:val="28"/>
              </w:rPr>
            </w:pPr>
            <w:r>
              <w:rPr>
                <w:rFonts w:hint="eastAsia" w:ascii="华文中宋" w:hAnsi="华文中宋" w:eastAsia="华文中宋" w:cs="华文中宋"/>
                <w:color w:val="000000"/>
                <w:sz w:val="28"/>
                <w:lang w:bidi="ar"/>
              </w:rPr>
              <w:t>单位及职称</w:t>
            </w:r>
          </w:p>
        </w:tc>
        <w:tc>
          <w:tcPr>
            <w:tcW w:w="2059" w:type="dxa"/>
            <w:gridSpan w:val="4"/>
            <w:tcBorders>
              <w:tl2br w:val="nil"/>
              <w:tr2bl w:val="nil"/>
            </w:tcBorders>
            <w:noWrap w:val="0"/>
            <w:vAlign w:val="center"/>
          </w:tcPr>
          <w:p w14:paraId="390C0988">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工人日报社</w:t>
            </w:r>
          </w:p>
          <w:p w14:paraId="587A5B4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华文中宋" w:hAnsi="华文中宋" w:eastAsia="华文中宋"/>
                <w:sz w:val="28"/>
                <w:szCs w:val="28"/>
                <w:lang w:val="en-US" w:eastAsia="zh-CN"/>
              </w:rPr>
            </w:pPr>
            <w:r>
              <w:rPr>
                <w:rFonts w:hint="eastAsia" w:ascii="仿宋" w:hAnsi="仿宋" w:eastAsia="仿宋" w:cs="仿宋"/>
                <w:color w:val="000000"/>
                <w:sz w:val="24"/>
                <w:szCs w:val="18"/>
                <w:lang w:val="en-US" w:eastAsia="zh-CN"/>
              </w:rPr>
              <w:t>高级编辑</w:t>
            </w:r>
          </w:p>
        </w:tc>
        <w:tc>
          <w:tcPr>
            <w:tcW w:w="874" w:type="dxa"/>
            <w:gridSpan w:val="2"/>
            <w:tcBorders>
              <w:tl2br w:val="nil"/>
              <w:tr2bl w:val="nil"/>
            </w:tcBorders>
            <w:noWrap w:val="0"/>
            <w:vAlign w:val="center"/>
          </w:tcPr>
          <w:p w14:paraId="6F7360F0">
            <w:pPr>
              <w:widowControl w:val="0"/>
              <w:spacing w:line="340" w:lineRule="exact"/>
              <w:jc w:val="center"/>
              <w:rPr>
                <w:rFonts w:hint="eastAsia" w:ascii="华文中宋" w:hAnsi="华文中宋" w:eastAsia="华文中宋"/>
                <w:sz w:val="28"/>
                <w:szCs w:val="28"/>
              </w:rPr>
            </w:pPr>
            <w:r>
              <w:rPr>
                <w:rFonts w:hint="eastAsia" w:ascii="华文中宋" w:hAnsi="华文中宋" w:eastAsia="华文中宋" w:cs="华文中宋"/>
                <w:color w:val="000000"/>
                <w:sz w:val="28"/>
                <w:lang w:bidi="ar"/>
              </w:rPr>
              <w:t>电话</w:t>
            </w:r>
          </w:p>
        </w:tc>
        <w:tc>
          <w:tcPr>
            <w:tcW w:w="2203" w:type="dxa"/>
            <w:gridSpan w:val="2"/>
            <w:tcBorders>
              <w:tl2br w:val="nil"/>
              <w:tr2bl w:val="nil"/>
            </w:tcBorders>
            <w:noWrap w:val="0"/>
            <w:vAlign w:val="center"/>
          </w:tcPr>
          <w:p w14:paraId="2624E1CB">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华文中宋" w:hAnsi="华文中宋" w:eastAsia="华文中宋"/>
                <w:sz w:val="28"/>
                <w:szCs w:val="28"/>
              </w:rPr>
            </w:pPr>
            <w:r>
              <w:rPr>
                <w:rFonts w:hint="eastAsia" w:ascii="仿宋" w:hAnsi="仿宋" w:eastAsia="仿宋" w:cs="仿宋"/>
                <w:color w:val="000000"/>
                <w:sz w:val="24"/>
                <w:szCs w:val="18"/>
                <w:lang w:val="en-US" w:eastAsia="zh-CN"/>
              </w:rPr>
              <w:t>13810105845</w:t>
            </w:r>
          </w:p>
        </w:tc>
      </w:tr>
      <w:tr w14:paraId="549D3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jc w:val="center"/>
        </w:trPr>
        <w:tc>
          <w:tcPr>
            <w:tcW w:w="1240" w:type="dxa"/>
            <w:gridSpan w:val="2"/>
            <w:vMerge w:val="continue"/>
            <w:tcBorders>
              <w:tl2br w:val="nil"/>
              <w:tr2bl w:val="nil"/>
            </w:tcBorders>
            <w:noWrap w:val="0"/>
            <w:vAlign w:val="center"/>
          </w:tcPr>
          <w:p w14:paraId="6E16D187">
            <w:pPr>
              <w:widowControl w:val="0"/>
              <w:autoSpaceDE w:val="0"/>
              <w:autoSpaceDN w:val="0"/>
              <w:adjustRightInd w:val="0"/>
              <w:spacing w:line="240" w:lineRule="exact"/>
              <w:jc w:val="both"/>
            </w:pPr>
          </w:p>
        </w:tc>
        <w:tc>
          <w:tcPr>
            <w:tcW w:w="893" w:type="dxa"/>
            <w:gridSpan w:val="3"/>
            <w:tcBorders>
              <w:tl2br w:val="nil"/>
              <w:tr2bl w:val="nil"/>
            </w:tcBorders>
            <w:noWrap w:val="0"/>
            <w:vAlign w:val="center"/>
          </w:tcPr>
          <w:p w14:paraId="7F47AA15">
            <w:pPr>
              <w:widowControl w:val="0"/>
              <w:spacing w:line="320" w:lineRule="exact"/>
              <w:jc w:val="center"/>
            </w:pPr>
            <w:r>
              <w:rPr>
                <w:rFonts w:hint="eastAsia" w:ascii="华文中宋" w:hAnsi="华文中宋" w:eastAsia="华文中宋" w:cs="华文中宋"/>
                <w:color w:val="000000"/>
                <w:sz w:val="28"/>
                <w:lang w:bidi="ar"/>
              </w:rPr>
              <w:t>姓名</w:t>
            </w:r>
          </w:p>
        </w:tc>
        <w:tc>
          <w:tcPr>
            <w:tcW w:w="1368" w:type="dxa"/>
            <w:gridSpan w:val="2"/>
            <w:tcBorders>
              <w:tl2br w:val="nil"/>
              <w:tr2bl w:val="nil"/>
            </w:tcBorders>
            <w:noWrap w:val="0"/>
            <w:vAlign w:val="center"/>
          </w:tcPr>
          <w:p w14:paraId="74FA93DB">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王金海</w:t>
            </w:r>
          </w:p>
        </w:tc>
        <w:tc>
          <w:tcPr>
            <w:tcW w:w="1176" w:type="dxa"/>
            <w:gridSpan w:val="2"/>
            <w:tcBorders>
              <w:tl2br w:val="nil"/>
              <w:tr2bl w:val="nil"/>
            </w:tcBorders>
            <w:noWrap w:val="0"/>
            <w:vAlign w:val="center"/>
          </w:tcPr>
          <w:p w14:paraId="6F2C4C95">
            <w:pPr>
              <w:widowControl w:val="0"/>
              <w:spacing w:line="340" w:lineRule="exact"/>
              <w:jc w:val="center"/>
            </w:pPr>
            <w:r>
              <w:rPr>
                <w:rFonts w:hint="eastAsia" w:ascii="华文中宋" w:hAnsi="华文中宋" w:eastAsia="华文中宋" w:cs="华文中宋"/>
                <w:color w:val="000000"/>
                <w:sz w:val="28"/>
                <w:lang w:bidi="ar"/>
              </w:rPr>
              <w:t>单位及职称</w:t>
            </w:r>
          </w:p>
        </w:tc>
        <w:tc>
          <w:tcPr>
            <w:tcW w:w="2059" w:type="dxa"/>
            <w:gridSpan w:val="4"/>
            <w:tcBorders>
              <w:tl2br w:val="nil"/>
              <w:tr2bl w:val="nil"/>
            </w:tcBorders>
            <w:noWrap w:val="0"/>
            <w:vAlign w:val="center"/>
          </w:tcPr>
          <w:p w14:paraId="32C7733A">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工人日报社</w:t>
            </w:r>
          </w:p>
          <w:p w14:paraId="404BD75A">
            <w:pPr>
              <w:keepNext w:val="0"/>
              <w:keepLines w:val="0"/>
              <w:pageBreakBefore w:val="0"/>
              <w:widowControl w:val="0"/>
              <w:kinsoku/>
              <w:wordWrap/>
              <w:overflowPunct/>
              <w:topLinePunct w:val="0"/>
              <w:autoSpaceDE/>
              <w:autoSpaceDN/>
              <w:bidi w:val="0"/>
              <w:adjustRightInd/>
              <w:snapToGrid/>
              <w:ind w:firstLine="0"/>
              <w:jc w:val="center"/>
              <w:textAlignment w:val="auto"/>
            </w:pPr>
            <w:r>
              <w:rPr>
                <w:rFonts w:hint="eastAsia" w:ascii="仿宋" w:hAnsi="仿宋" w:eastAsia="仿宋" w:cs="仿宋"/>
                <w:color w:val="000000"/>
                <w:sz w:val="24"/>
                <w:szCs w:val="18"/>
                <w:lang w:val="en-US" w:eastAsia="zh-CN"/>
              </w:rPr>
              <w:t>高级编辑</w:t>
            </w:r>
          </w:p>
        </w:tc>
        <w:tc>
          <w:tcPr>
            <w:tcW w:w="874" w:type="dxa"/>
            <w:gridSpan w:val="2"/>
            <w:tcBorders>
              <w:tl2br w:val="nil"/>
              <w:tr2bl w:val="nil"/>
            </w:tcBorders>
            <w:noWrap w:val="0"/>
            <w:vAlign w:val="center"/>
          </w:tcPr>
          <w:p w14:paraId="041A6DC3">
            <w:pPr>
              <w:widowControl w:val="0"/>
              <w:spacing w:line="340" w:lineRule="exact"/>
              <w:jc w:val="center"/>
            </w:pPr>
            <w:r>
              <w:rPr>
                <w:rFonts w:hint="eastAsia" w:ascii="华文中宋" w:hAnsi="华文中宋" w:eastAsia="华文中宋" w:cs="华文中宋"/>
                <w:color w:val="000000"/>
                <w:sz w:val="28"/>
                <w:lang w:bidi="ar"/>
              </w:rPr>
              <w:t>电话</w:t>
            </w:r>
          </w:p>
        </w:tc>
        <w:tc>
          <w:tcPr>
            <w:tcW w:w="2203" w:type="dxa"/>
            <w:gridSpan w:val="2"/>
            <w:tcBorders>
              <w:tl2br w:val="nil"/>
              <w:tr2bl w:val="nil"/>
            </w:tcBorders>
            <w:noWrap w:val="0"/>
            <w:vAlign w:val="center"/>
          </w:tcPr>
          <w:p w14:paraId="204C0D2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华文中宋" w:hAnsi="华文中宋" w:eastAsia="华文中宋"/>
                <w:sz w:val="28"/>
                <w:szCs w:val="28"/>
                <w:lang w:val="en-US" w:eastAsia="zh-CN"/>
              </w:rPr>
            </w:pPr>
            <w:r>
              <w:rPr>
                <w:rFonts w:hint="eastAsia" w:ascii="仿宋" w:hAnsi="仿宋" w:eastAsia="仿宋" w:cs="仿宋"/>
                <w:color w:val="000000"/>
                <w:sz w:val="24"/>
                <w:szCs w:val="18"/>
                <w:lang w:val="en-US" w:eastAsia="zh-CN"/>
              </w:rPr>
              <w:t>13501160165</w:t>
            </w:r>
          </w:p>
        </w:tc>
      </w:tr>
      <w:tr w14:paraId="6EDBF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2133" w:type="dxa"/>
            <w:gridSpan w:val="5"/>
            <w:tcBorders>
              <w:tl2br w:val="nil"/>
              <w:tr2bl w:val="nil"/>
            </w:tcBorders>
            <w:vAlign w:val="center"/>
          </w:tcPr>
          <w:p w14:paraId="79529077">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自荐人</w:t>
            </w:r>
          </w:p>
          <w:p w14:paraId="15B6A31B">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姓名</w:t>
            </w:r>
          </w:p>
        </w:tc>
        <w:tc>
          <w:tcPr>
            <w:tcW w:w="1368" w:type="dxa"/>
            <w:gridSpan w:val="2"/>
            <w:tcBorders>
              <w:tl2br w:val="nil"/>
              <w:tr2bl w:val="nil"/>
            </w:tcBorders>
            <w:vAlign w:val="center"/>
          </w:tcPr>
          <w:p w14:paraId="707F3332">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华文中宋" w:hAnsi="华文中宋" w:eastAsia="华文中宋"/>
                <w:color w:val="000000"/>
                <w:sz w:val="28"/>
                <w:lang w:val="en-US" w:eastAsia="zh-CN"/>
              </w:rPr>
            </w:pPr>
            <w:r>
              <w:rPr>
                <w:rFonts w:hint="eastAsia" w:ascii="仿宋" w:hAnsi="仿宋" w:eastAsia="仿宋" w:cs="仿宋"/>
                <w:color w:val="000000"/>
                <w:sz w:val="24"/>
                <w:szCs w:val="18"/>
                <w:lang w:val="en-US" w:eastAsia="zh-CN"/>
              </w:rPr>
              <w:t>刘玄</w:t>
            </w:r>
          </w:p>
        </w:tc>
        <w:tc>
          <w:tcPr>
            <w:tcW w:w="1176" w:type="dxa"/>
            <w:gridSpan w:val="2"/>
            <w:tcBorders>
              <w:tl2br w:val="nil"/>
              <w:tr2bl w:val="nil"/>
            </w:tcBorders>
            <w:vAlign w:val="center"/>
          </w:tcPr>
          <w:p w14:paraId="34F4E207">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手机</w:t>
            </w:r>
          </w:p>
        </w:tc>
        <w:tc>
          <w:tcPr>
            <w:tcW w:w="2059" w:type="dxa"/>
            <w:gridSpan w:val="4"/>
            <w:tcBorders>
              <w:tl2br w:val="nil"/>
              <w:tr2bl w:val="nil"/>
            </w:tcBorders>
            <w:vAlign w:val="center"/>
          </w:tcPr>
          <w:p w14:paraId="45C1F4E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华文中宋" w:hAnsi="华文中宋" w:eastAsia="华文中宋"/>
                <w:color w:val="000000"/>
                <w:sz w:val="28"/>
                <w:lang w:val="en-US" w:eastAsia="zh-CN"/>
              </w:rPr>
            </w:pPr>
            <w:r>
              <w:rPr>
                <w:rFonts w:hint="eastAsia" w:ascii="仿宋" w:hAnsi="仿宋" w:eastAsia="仿宋" w:cs="仿宋"/>
                <w:color w:val="000000"/>
                <w:sz w:val="24"/>
                <w:szCs w:val="18"/>
                <w:lang w:val="en-US" w:eastAsia="zh-CN"/>
              </w:rPr>
              <w:t>18311086791</w:t>
            </w:r>
          </w:p>
        </w:tc>
        <w:tc>
          <w:tcPr>
            <w:tcW w:w="874" w:type="dxa"/>
            <w:gridSpan w:val="2"/>
            <w:tcBorders>
              <w:tl2br w:val="nil"/>
              <w:tr2bl w:val="nil"/>
            </w:tcBorders>
            <w:vAlign w:val="center"/>
          </w:tcPr>
          <w:p w14:paraId="0374530E">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电话</w:t>
            </w:r>
          </w:p>
        </w:tc>
        <w:tc>
          <w:tcPr>
            <w:tcW w:w="2203" w:type="dxa"/>
            <w:gridSpan w:val="2"/>
            <w:tcBorders>
              <w:tl2br w:val="nil"/>
              <w:tr2bl w:val="nil"/>
            </w:tcBorders>
            <w:vAlign w:val="center"/>
          </w:tcPr>
          <w:p w14:paraId="450EA83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华文中宋" w:hAnsi="华文中宋" w:eastAsia="华文中宋"/>
                <w:color w:val="000000"/>
                <w:sz w:val="28"/>
                <w:lang w:val="en-US" w:eastAsia="zh-CN"/>
              </w:rPr>
            </w:pPr>
            <w:r>
              <w:rPr>
                <w:rFonts w:hint="eastAsia" w:ascii="仿宋" w:hAnsi="仿宋" w:eastAsia="仿宋" w:cs="仿宋"/>
                <w:color w:val="000000"/>
                <w:sz w:val="24"/>
                <w:szCs w:val="18"/>
                <w:lang w:val="en-US" w:eastAsia="zh-CN"/>
              </w:rPr>
              <w:t>010-84151760</w:t>
            </w:r>
          </w:p>
        </w:tc>
      </w:tr>
      <w:tr w14:paraId="580E3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6" w:hRule="exact"/>
          <w:jc w:val="center"/>
        </w:trPr>
        <w:tc>
          <w:tcPr>
            <w:tcW w:w="1647" w:type="dxa"/>
            <w:gridSpan w:val="4"/>
            <w:tcBorders>
              <w:tl2br w:val="nil"/>
              <w:tr2bl w:val="nil"/>
            </w:tcBorders>
            <w:vAlign w:val="center"/>
          </w:tcPr>
          <w:p w14:paraId="0A68BB6A">
            <w:pPr>
              <w:spacing w:line="380" w:lineRule="exact"/>
              <w:jc w:val="center"/>
              <w:rPr>
                <w:rFonts w:hint="eastAsia"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审核</w:t>
            </w:r>
          </w:p>
          <w:p w14:paraId="218E9654">
            <w:pPr>
              <w:spacing w:line="380" w:lineRule="exact"/>
              <w:jc w:val="center"/>
              <w:rPr>
                <w:rFonts w:hint="eastAsia"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单位</w:t>
            </w:r>
          </w:p>
          <w:p w14:paraId="3FAEA7C2">
            <w:pPr>
              <w:spacing w:line="380" w:lineRule="exact"/>
              <w:jc w:val="center"/>
              <w:rPr>
                <w:rFonts w:hint="default" w:ascii="华文中宋" w:hAnsi="华文中宋" w:eastAsia="华文中宋"/>
                <w:color w:val="000000"/>
                <w:sz w:val="24"/>
                <w:szCs w:val="24"/>
                <w:lang w:val="en-US" w:eastAsia="zh-CN"/>
              </w:rPr>
            </w:pPr>
            <w:r>
              <w:rPr>
                <w:rFonts w:hint="eastAsia" w:ascii="华文中宋" w:hAnsi="华文中宋" w:eastAsia="华文中宋"/>
                <w:color w:val="000000"/>
                <w:sz w:val="28"/>
                <w:lang w:val="en-US" w:eastAsia="zh-CN"/>
              </w:rPr>
              <w:t>意见</w:t>
            </w:r>
          </w:p>
        </w:tc>
        <w:tc>
          <w:tcPr>
            <w:tcW w:w="8166" w:type="dxa"/>
            <w:gridSpan w:val="13"/>
            <w:tcBorders>
              <w:tl2br w:val="nil"/>
              <w:tr2bl w:val="nil"/>
            </w:tcBorders>
            <w:vAlign w:val="center"/>
          </w:tcPr>
          <w:p w14:paraId="6D16E2B2">
            <w:pPr>
              <w:spacing w:line="240" w:lineRule="exact"/>
              <w:rPr>
                <w:rFonts w:hint="eastAsia" w:ascii="仿宋" w:hAnsi="仿宋" w:eastAsia="仿宋"/>
                <w:b/>
                <w:color w:val="000000"/>
                <w:szCs w:val="21"/>
              </w:rPr>
            </w:pPr>
          </w:p>
          <w:p w14:paraId="0BF4E2D0">
            <w:pPr>
              <w:spacing w:line="240" w:lineRule="exact"/>
              <w:rPr>
                <w:rFonts w:hint="eastAsia" w:ascii="仿宋" w:hAnsi="仿宋" w:eastAsia="仿宋"/>
                <w:b/>
                <w:color w:val="000000"/>
                <w:szCs w:val="21"/>
              </w:rPr>
            </w:pPr>
          </w:p>
          <w:p w14:paraId="5EFE330D">
            <w:pPr>
              <w:ind w:firstLine="422"/>
              <w:rPr>
                <w:rFonts w:hint="eastAsia" w:ascii="仿宋" w:hAnsi="仿宋" w:eastAsia="仿宋" w:cs="仿宋"/>
                <w:color w:val="000000"/>
                <w:sz w:val="24"/>
                <w:szCs w:val="18"/>
              </w:rPr>
            </w:pPr>
          </w:p>
          <w:p w14:paraId="21FE0066">
            <w:pPr>
              <w:ind w:firstLine="422"/>
              <w:rPr>
                <w:rFonts w:hint="eastAsia" w:ascii="仿宋" w:hAnsi="仿宋" w:eastAsia="仿宋" w:cs="仿宋"/>
                <w:color w:val="000000"/>
                <w:sz w:val="24"/>
                <w:szCs w:val="18"/>
              </w:rPr>
            </w:pPr>
          </w:p>
          <w:p w14:paraId="7BCED045">
            <w:pPr>
              <w:ind w:firstLine="422"/>
              <w:rPr>
                <w:rFonts w:hint="eastAsia" w:ascii="仿宋" w:hAnsi="仿宋" w:eastAsia="仿宋" w:cs="仿宋"/>
                <w:color w:val="000000"/>
                <w:sz w:val="24"/>
                <w:szCs w:val="18"/>
              </w:rPr>
            </w:pPr>
          </w:p>
          <w:p w14:paraId="29B48078">
            <w:pPr>
              <w:ind w:firstLine="3600" w:firstLineChars="1500"/>
              <w:rPr>
                <w:rFonts w:hint="eastAsia" w:ascii="仿宋" w:hAnsi="仿宋" w:eastAsia="仿宋" w:cs="仿宋"/>
                <w:color w:val="000000"/>
                <w:sz w:val="24"/>
                <w:szCs w:val="18"/>
                <w:lang w:eastAsia="zh-CN"/>
              </w:rPr>
            </w:pPr>
            <w:r>
              <w:rPr>
                <w:rFonts w:hint="eastAsia" w:ascii="仿宋" w:hAnsi="仿宋" w:eastAsia="仿宋" w:cs="仿宋"/>
                <w:color w:val="000000"/>
                <w:sz w:val="24"/>
                <w:szCs w:val="18"/>
                <w:lang w:eastAsia="zh-CN"/>
              </w:rPr>
              <w:t>（</w:t>
            </w:r>
            <w:r>
              <w:rPr>
                <w:rFonts w:hint="eastAsia" w:ascii="仿宋" w:hAnsi="仿宋" w:eastAsia="仿宋" w:cs="仿宋"/>
                <w:color w:val="000000"/>
                <w:sz w:val="24"/>
                <w:szCs w:val="18"/>
                <w:lang w:val="en-US" w:eastAsia="zh-CN"/>
              </w:rPr>
              <w:t>加盖单位公章</w:t>
            </w:r>
            <w:r>
              <w:rPr>
                <w:rFonts w:hint="eastAsia" w:ascii="仿宋" w:hAnsi="仿宋" w:eastAsia="仿宋" w:cs="仿宋"/>
                <w:color w:val="000000"/>
                <w:sz w:val="24"/>
                <w:szCs w:val="18"/>
                <w:lang w:eastAsia="zh-CN"/>
              </w:rPr>
              <w:t>）</w:t>
            </w:r>
          </w:p>
          <w:p w14:paraId="645093D2">
            <w:pPr>
              <w:ind w:firstLine="422"/>
              <w:rPr>
                <w:rFonts w:ascii="方正仿宋_GB2312"/>
                <w:color w:val="000000"/>
                <w:sz w:val="28"/>
              </w:rPr>
            </w:pPr>
            <w:r>
              <w:rPr>
                <w:rFonts w:hint="eastAsia" w:ascii="仿宋" w:hAnsi="仿宋" w:eastAsia="仿宋"/>
                <w:color w:val="000000"/>
                <w:szCs w:val="21"/>
              </w:rPr>
              <w:t xml:space="preserve">                        </w:t>
            </w:r>
            <w:r>
              <w:rPr>
                <w:rFonts w:hint="eastAsia" w:ascii="仿宋" w:hAnsi="仿宋" w:eastAsia="仿宋"/>
                <w:color w:val="000000"/>
                <w:szCs w:val="32"/>
              </w:rPr>
              <w:t xml:space="preserve">          年   月   日</w:t>
            </w:r>
          </w:p>
        </w:tc>
      </w:tr>
    </w:tbl>
    <w:p w14:paraId="30942D31">
      <w:pPr>
        <w:rPr>
          <w:rFonts w:hint="eastAsia" w:ascii="楷体" w:hAnsi="楷体" w:eastAsia="楷体"/>
          <w:color w:val="000000"/>
          <w:sz w:val="28"/>
          <w:szCs w:val="28"/>
        </w:rPr>
      </w:pPr>
      <w:r>
        <w:rPr>
          <w:rFonts w:hint="eastAsia" w:ascii="楷体" w:hAnsi="楷体" w:eastAsia="楷体"/>
          <w:color w:val="000000"/>
          <w:sz w:val="28"/>
          <w:szCs w:val="28"/>
        </w:rPr>
        <w:t>此表可从中国记协网www.zgjx.cn下载。</w:t>
      </w:r>
    </w:p>
    <w:p w14:paraId="21864DDC">
      <w:pPr>
        <w:rPr>
          <w:rFonts w:hint="eastAsia" w:ascii="Calibri" w:hAnsi="Calibri" w:eastAsia="仿宋_GB2312" w:cs="Times New Roman"/>
          <w:b/>
          <w:bCs/>
          <w:lang w:val="en-US" w:eastAsia="zh-CN"/>
        </w:rPr>
      </w:pPr>
      <w:r>
        <w:rPr>
          <w:rFonts w:hint="eastAsia" w:ascii="Calibri" w:hAnsi="Calibri" w:eastAsia="仿宋_GB2312" w:cs="Times New Roman"/>
          <w:b/>
          <w:bCs/>
          <w:lang w:val="en-US" w:eastAsia="zh-CN"/>
        </w:rPr>
        <w:t>记协证明：</w:t>
      </w:r>
    </w:p>
    <w:p w14:paraId="41BBBDC5">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HYPERLINK "https://mp.weixin.qq.com/s/tgUksk734ALGEHVcMsaJdw" </w:instrText>
      </w:r>
      <w:r>
        <w:rPr>
          <w:rFonts w:hint="eastAsia" w:ascii="仿宋" w:hAnsi="仿宋" w:eastAsia="仿宋" w:cs="仿宋"/>
          <w:sz w:val="28"/>
          <w:szCs w:val="28"/>
          <w:lang w:val="en-US" w:eastAsia="zh-CN"/>
        </w:rPr>
        <w:fldChar w:fldCharType="separate"/>
      </w:r>
      <w:r>
        <w:rPr>
          <w:rFonts w:hint="eastAsia" w:ascii="仿宋" w:hAnsi="仿宋" w:eastAsia="仿宋" w:cs="仿宋"/>
          <w:sz w:val="28"/>
          <w:szCs w:val="28"/>
          <w:lang w:val="en-US" w:eastAsia="zh-CN"/>
        </w:rPr>
        <w:t>https://mp.weixin.qq.com/s/tgUksk734ALGEHVcMsaJdw</w:t>
      </w:r>
      <w:r>
        <w:rPr>
          <w:rFonts w:hint="eastAsia" w:ascii="仿宋" w:hAnsi="仿宋" w:eastAsia="仿宋" w:cs="仿宋"/>
          <w:sz w:val="28"/>
          <w:szCs w:val="28"/>
          <w:lang w:val="en-US" w:eastAsia="zh-CN"/>
        </w:rPr>
        <w:fldChar w:fldCharType="end"/>
      </w:r>
    </w:p>
    <w:p w14:paraId="33E2A33E">
      <w:r>
        <w:drawing>
          <wp:inline distT="0" distB="0" distL="114300" distR="114300">
            <wp:extent cx="3312160" cy="3587750"/>
            <wp:effectExtent l="0" t="0" r="2540"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3312160" cy="3587750"/>
                    </a:xfrm>
                    <a:prstGeom prst="rect">
                      <a:avLst/>
                    </a:prstGeom>
                    <a:noFill/>
                    <a:ln>
                      <a:noFill/>
                    </a:ln>
                  </pic:spPr>
                </pic:pic>
              </a:graphicData>
            </a:graphic>
          </wp:inline>
        </w:drawing>
      </w:r>
    </w:p>
    <w:p w14:paraId="5517A416">
      <w:pPr>
        <w:rPr>
          <w:rFonts w:hint="eastAsia"/>
          <w:lang w:val="en-US" w:eastAsia="zh-CN"/>
        </w:rPr>
      </w:pPr>
      <w:r>
        <w:drawing>
          <wp:inline distT="0" distB="0" distL="114300" distR="114300">
            <wp:extent cx="3724275" cy="3599815"/>
            <wp:effectExtent l="0" t="0" r="9525" b="6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3724275" cy="3599815"/>
                    </a:xfrm>
                    <a:prstGeom prst="rect">
                      <a:avLst/>
                    </a:prstGeom>
                    <a:noFill/>
                    <a:ln>
                      <a:noFill/>
                    </a:ln>
                  </pic:spPr>
                </pic:pic>
              </a:graphicData>
            </a:graphic>
          </wp:inline>
        </w:drawing>
      </w:r>
    </w:p>
    <w:p w14:paraId="72FBD85D">
      <w:pPr>
        <w:rPr>
          <w:rFonts w:hint="eastAsia" w:ascii="仿宋" w:hAnsi="仿宋" w:eastAsia="仿宋" w:cs="仿宋"/>
          <w:sz w:val="21"/>
          <w:szCs w:val="21"/>
          <w:lang w:val="en-US" w:eastAsia="zh-CN"/>
        </w:rPr>
      </w:pPr>
    </w:p>
    <w:p w14:paraId="3C7A6331">
      <w:pPr>
        <w:rPr>
          <w:rFonts w:hint="default" w:cs="Times New Roman"/>
          <w:b/>
          <w:bCs/>
          <w:sz w:val="28"/>
          <w:szCs w:val="28"/>
          <w:lang w:val="en-US" w:eastAsia="zh-CN"/>
        </w:rPr>
      </w:pPr>
    </w:p>
    <w:p w14:paraId="0C3DBBBD">
      <w:pPr>
        <w:rPr>
          <w:rFonts w:hint="eastAsia" w:ascii="Calibri" w:hAnsi="Calibri" w:eastAsia="仿宋_GB2312" w:cs="Times New Roman"/>
          <w:b/>
          <w:bCs/>
          <w:lang w:val="en-US" w:eastAsia="zh-CN"/>
        </w:rPr>
      </w:pPr>
      <w:r>
        <w:rPr>
          <w:rFonts w:hint="eastAsia" w:ascii="Calibri" w:hAnsi="Calibri" w:eastAsia="仿宋_GB2312" w:cs="Times New Roman"/>
          <w:b/>
          <w:bCs/>
          <w:lang w:val="en-US" w:eastAsia="zh-CN"/>
        </w:rPr>
        <w:t>首屏首页截图：</w:t>
      </w:r>
    </w:p>
    <w:p w14:paraId="4D027392">
      <w:r>
        <w:drawing>
          <wp:inline distT="0" distB="0" distL="114300" distR="114300">
            <wp:extent cx="5272405" cy="5533390"/>
            <wp:effectExtent l="0" t="0" r="444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272405" cy="5533390"/>
                    </a:xfrm>
                    <a:prstGeom prst="rect">
                      <a:avLst/>
                    </a:prstGeom>
                    <a:noFill/>
                    <a:ln>
                      <a:noFill/>
                    </a:ln>
                  </pic:spPr>
                </pic:pic>
              </a:graphicData>
            </a:graphic>
          </wp:inline>
        </w:drawing>
      </w:r>
    </w:p>
    <w:p w14:paraId="7A4C5C46">
      <w:pPr>
        <w:rPr>
          <w:rFonts w:hint="eastAsia"/>
          <w:b/>
          <w:bCs/>
          <w:sz w:val="28"/>
          <w:szCs w:val="28"/>
          <w:lang w:val="en-US" w:eastAsia="zh-CN"/>
        </w:rPr>
      </w:pPr>
    </w:p>
    <w:p w14:paraId="69047639">
      <w:pPr>
        <w:rPr>
          <w:rFonts w:hint="eastAsia"/>
          <w:b/>
          <w:bCs/>
          <w:sz w:val="28"/>
          <w:szCs w:val="28"/>
          <w:lang w:val="en-US" w:eastAsia="zh-CN"/>
        </w:rPr>
      </w:pPr>
    </w:p>
    <w:p w14:paraId="7F858614">
      <w:pPr>
        <w:rPr>
          <w:rFonts w:hint="eastAsia"/>
          <w:b/>
          <w:bCs/>
          <w:sz w:val="28"/>
          <w:szCs w:val="28"/>
          <w:lang w:val="en-US" w:eastAsia="zh-CN"/>
        </w:rPr>
      </w:pPr>
    </w:p>
    <w:p w14:paraId="549D939E">
      <w:pPr>
        <w:rPr>
          <w:rFonts w:hint="eastAsia"/>
          <w:b/>
          <w:bCs/>
          <w:sz w:val="28"/>
          <w:szCs w:val="28"/>
          <w:lang w:val="en-US" w:eastAsia="zh-CN"/>
        </w:rPr>
      </w:pPr>
    </w:p>
    <w:p w14:paraId="34A16F82">
      <w:pPr>
        <w:rPr>
          <w:rFonts w:hint="eastAsia"/>
          <w:b/>
          <w:bCs/>
          <w:sz w:val="28"/>
          <w:szCs w:val="28"/>
          <w:lang w:val="en-US" w:eastAsia="zh-CN"/>
        </w:rPr>
      </w:pPr>
    </w:p>
    <w:p w14:paraId="4E2D06A5">
      <w:pPr>
        <w:rPr>
          <w:rFonts w:hint="eastAsia"/>
          <w:b/>
          <w:bCs/>
          <w:sz w:val="28"/>
          <w:szCs w:val="28"/>
          <w:lang w:val="en-US" w:eastAsia="zh-CN"/>
        </w:rPr>
      </w:pPr>
    </w:p>
    <w:p w14:paraId="5C55F008">
      <w:pPr>
        <w:rPr>
          <w:rFonts w:hint="eastAsia"/>
          <w:b/>
          <w:bCs/>
          <w:sz w:val="28"/>
          <w:szCs w:val="28"/>
          <w:lang w:val="en-US" w:eastAsia="zh-CN"/>
        </w:rPr>
      </w:pPr>
    </w:p>
    <w:p w14:paraId="67E9B05E">
      <w:pPr>
        <w:rPr>
          <w:rFonts w:hint="eastAsia" w:ascii="Calibri" w:hAnsi="Calibri" w:eastAsia="仿宋_GB2312" w:cs="Times New Roman"/>
          <w:b/>
          <w:bCs/>
          <w:lang w:val="en-US" w:eastAsia="zh-CN"/>
        </w:rPr>
      </w:pPr>
      <w:r>
        <w:rPr>
          <w:rFonts w:hint="eastAsia" w:ascii="Calibri" w:hAnsi="Calibri" w:eastAsia="仿宋_GB2312" w:cs="Times New Roman"/>
          <w:b/>
          <w:bCs/>
          <w:lang w:val="en-US" w:eastAsia="zh-CN"/>
        </w:rPr>
        <w:t>作品文字简介：</w:t>
      </w:r>
    </w:p>
    <w:p w14:paraId="594404DA">
      <w:pPr>
        <w:ind w:firstLine="560" w:firstLineChars="200"/>
        <w:rPr>
          <w:rFonts w:hint="eastAsia" w:ascii="Calibri" w:hAnsi="Calibri" w:eastAsia="仿宋_GB2312" w:cs="Times New Roman"/>
          <w:sz w:val="28"/>
          <w:szCs w:val="28"/>
          <w:lang w:val="en-US" w:eastAsia="zh-CN"/>
        </w:rPr>
      </w:pPr>
      <w:r>
        <w:rPr>
          <w:rFonts w:hint="eastAsia" w:ascii="Calibri" w:hAnsi="Calibri" w:eastAsia="仿宋_GB2312" w:cs="Times New Roman"/>
          <w:sz w:val="28"/>
          <w:szCs w:val="28"/>
          <w:lang w:val="en-US" w:eastAsia="zh-CN"/>
        </w:rPr>
        <w:t>海拔3300米，在滇藏铁路的至高点，钢轨间距误差不能超过1毫米——这是陈永祥和他的团队用23年风雪丈量的标准；每天200+集装箱，梁立操纵着巨型正面吊，在缺氧的高原上装卸货物，让这条“最美天路”成为茶马古道上的“新驿站”；90后工长唐浩鹏穿行在金沙江特大桥的钢桁之间，脚下是怒江奔涌，头顶是雪山巍峨……从月光下的钢轨检修，到货运站的昼夜不息，再到悬索桥上的高空搏命。这些云端守望者，让天堑变通途！（中工网记者 刘玄）</w:t>
      </w:r>
    </w:p>
    <w:p w14:paraId="229D181D">
      <w:pPr>
        <w:ind w:firstLine="560" w:firstLineChars="200"/>
        <w:rPr>
          <w:rFonts w:hint="eastAsia" w:ascii="Calibri" w:hAnsi="Calibri" w:eastAsia="仿宋_GB2312" w:cs="Times New Roman"/>
          <w:sz w:val="28"/>
          <w:szCs w:val="28"/>
          <w:lang w:val="en-US" w:eastAsia="zh-CN"/>
        </w:rPr>
      </w:pPr>
    </w:p>
    <w:p w14:paraId="712C6D35">
      <w:pPr>
        <w:ind w:firstLine="560" w:firstLineChars="200"/>
        <w:rPr>
          <w:rFonts w:hint="eastAsia" w:ascii="Calibri" w:hAnsi="Calibri" w:eastAsia="仿宋_GB2312" w:cs="Times New Roman"/>
          <w:sz w:val="28"/>
          <w:szCs w:val="28"/>
          <w:lang w:val="en-US" w:eastAsia="zh-CN"/>
        </w:rPr>
      </w:pPr>
    </w:p>
    <w:p w14:paraId="014DD887">
      <w:pPr>
        <w:ind w:firstLine="560" w:firstLineChars="200"/>
        <w:rPr>
          <w:rFonts w:hint="eastAsia" w:ascii="Calibri" w:hAnsi="Calibri" w:eastAsia="仿宋_GB2312" w:cs="Times New Roman"/>
          <w:sz w:val="28"/>
          <w:szCs w:val="28"/>
          <w:lang w:val="en-US" w:eastAsia="zh-CN"/>
        </w:rPr>
      </w:pPr>
    </w:p>
    <w:p w14:paraId="426EC891">
      <w:pPr>
        <w:ind w:firstLine="560" w:firstLineChars="200"/>
        <w:rPr>
          <w:rFonts w:hint="eastAsia" w:ascii="Calibri" w:hAnsi="Calibri" w:eastAsia="仿宋_GB2312" w:cs="Times New Roman"/>
          <w:sz w:val="28"/>
          <w:szCs w:val="28"/>
          <w:lang w:val="en-US" w:eastAsia="zh-CN"/>
        </w:rPr>
      </w:pPr>
    </w:p>
    <w:p w14:paraId="37C12338">
      <w:pPr>
        <w:ind w:firstLine="560" w:firstLineChars="200"/>
        <w:rPr>
          <w:rFonts w:hint="eastAsia" w:ascii="Calibri" w:hAnsi="Calibri" w:eastAsia="仿宋_GB2312" w:cs="Times New Roman"/>
          <w:sz w:val="28"/>
          <w:szCs w:val="28"/>
          <w:lang w:val="en-US" w:eastAsia="zh-CN"/>
        </w:rPr>
      </w:pPr>
    </w:p>
    <w:p w14:paraId="6512998F">
      <w:pPr>
        <w:ind w:firstLine="560" w:firstLineChars="200"/>
        <w:rPr>
          <w:rFonts w:hint="eastAsia" w:ascii="Calibri" w:hAnsi="Calibri" w:eastAsia="仿宋_GB2312" w:cs="Times New Roman"/>
          <w:sz w:val="28"/>
          <w:szCs w:val="28"/>
          <w:lang w:val="en-US" w:eastAsia="zh-CN"/>
        </w:rPr>
      </w:pPr>
    </w:p>
    <w:p w14:paraId="61129290">
      <w:pPr>
        <w:ind w:firstLine="560" w:firstLineChars="200"/>
        <w:rPr>
          <w:rFonts w:hint="eastAsia" w:ascii="Calibri" w:hAnsi="Calibri" w:eastAsia="仿宋_GB2312" w:cs="Times New Roman"/>
          <w:sz w:val="28"/>
          <w:szCs w:val="28"/>
          <w:lang w:val="en-US" w:eastAsia="zh-CN"/>
        </w:rPr>
      </w:pPr>
    </w:p>
    <w:p w14:paraId="23CDB30D">
      <w:pPr>
        <w:ind w:firstLine="560" w:firstLineChars="200"/>
        <w:rPr>
          <w:rFonts w:hint="eastAsia" w:ascii="Calibri" w:hAnsi="Calibri" w:eastAsia="仿宋_GB2312" w:cs="Times New Roman"/>
          <w:sz w:val="28"/>
          <w:szCs w:val="28"/>
          <w:lang w:val="en-US" w:eastAsia="zh-CN"/>
        </w:rPr>
      </w:pPr>
    </w:p>
    <w:p w14:paraId="19F6DE3C">
      <w:pPr>
        <w:ind w:firstLine="560" w:firstLineChars="200"/>
        <w:rPr>
          <w:rFonts w:hint="eastAsia" w:ascii="Calibri" w:hAnsi="Calibri" w:eastAsia="仿宋_GB2312" w:cs="Times New Roman"/>
          <w:sz w:val="28"/>
          <w:szCs w:val="28"/>
          <w:lang w:val="en-US" w:eastAsia="zh-CN"/>
        </w:rPr>
      </w:pPr>
    </w:p>
    <w:p w14:paraId="40CAE2F1">
      <w:pPr>
        <w:ind w:firstLine="560" w:firstLineChars="200"/>
        <w:rPr>
          <w:rFonts w:hint="eastAsia" w:ascii="Calibri" w:hAnsi="Calibri" w:eastAsia="仿宋_GB2312" w:cs="Times New Roman"/>
          <w:sz w:val="28"/>
          <w:szCs w:val="28"/>
          <w:lang w:val="en-US" w:eastAsia="zh-CN"/>
        </w:rPr>
      </w:pPr>
    </w:p>
    <w:p w14:paraId="018A731A">
      <w:pPr>
        <w:ind w:firstLine="560" w:firstLineChars="200"/>
        <w:rPr>
          <w:rFonts w:hint="eastAsia" w:ascii="Calibri" w:hAnsi="Calibri" w:eastAsia="仿宋_GB2312" w:cs="Times New Roman"/>
          <w:sz w:val="28"/>
          <w:szCs w:val="28"/>
          <w:lang w:val="en-US" w:eastAsia="zh-CN"/>
        </w:rPr>
      </w:pPr>
    </w:p>
    <w:p w14:paraId="5009B3E2">
      <w:pPr>
        <w:ind w:firstLine="560" w:firstLineChars="200"/>
        <w:rPr>
          <w:rFonts w:hint="eastAsia" w:ascii="Calibri" w:hAnsi="Calibri" w:eastAsia="仿宋_GB2312" w:cs="Times New Roman"/>
          <w:sz w:val="28"/>
          <w:szCs w:val="28"/>
          <w:lang w:val="en-US" w:eastAsia="zh-CN"/>
        </w:rPr>
      </w:pPr>
    </w:p>
    <w:p w14:paraId="0CB161D5">
      <w:pPr>
        <w:ind w:firstLine="560" w:firstLineChars="200"/>
        <w:rPr>
          <w:rFonts w:hint="eastAsia" w:ascii="Calibri" w:hAnsi="Calibri" w:eastAsia="仿宋_GB2312" w:cs="Times New Roman"/>
          <w:sz w:val="28"/>
          <w:szCs w:val="28"/>
          <w:lang w:val="en-US" w:eastAsia="zh-CN"/>
        </w:rPr>
      </w:pPr>
    </w:p>
    <w:p w14:paraId="522F7239">
      <w:pPr>
        <w:ind w:firstLine="560" w:firstLineChars="200"/>
        <w:rPr>
          <w:rFonts w:hint="eastAsia" w:ascii="Calibri" w:hAnsi="Calibri" w:eastAsia="仿宋_GB2312" w:cs="Times New Roman"/>
          <w:sz w:val="28"/>
          <w:szCs w:val="28"/>
          <w:lang w:val="en-US" w:eastAsia="zh-CN"/>
        </w:rPr>
      </w:pPr>
    </w:p>
    <w:p w14:paraId="5EC51093">
      <w:pPr>
        <w:rPr>
          <w:rFonts w:hint="eastAsia" w:ascii="Calibri" w:hAnsi="Calibri" w:eastAsia="仿宋_GB2312" w:cs="Times New Roman"/>
          <w:b/>
          <w:bCs/>
          <w:lang w:eastAsia="zh-CN"/>
        </w:rPr>
      </w:pPr>
      <w:r>
        <w:rPr>
          <w:rFonts w:hint="eastAsia" w:ascii="Calibri" w:hAnsi="Calibri" w:eastAsia="仿宋_GB2312" w:cs="Times New Roman"/>
          <w:b/>
          <w:bCs/>
          <w:lang w:val="en-US" w:eastAsia="zh-CN"/>
        </w:rPr>
        <w:t>作品同期声字幕：</w:t>
      </w:r>
    </w:p>
    <w:p w14:paraId="7B7459F4">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记者：</w:t>
      </w:r>
      <w:r>
        <w:rPr>
          <w:rFonts w:hint="eastAsia" w:eastAsia="仿宋_GB2312" w:cs="Times New Roman"/>
          <w:sz w:val="28"/>
          <w:szCs w:val="28"/>
          <w:lang w:val="en-US" w:eastAsia="zh-CN"/>
        </w:rPr>
        <w:t>在这条离天最近的铁路上，每一公里都住着故事。有些藏在道尺的刻度里，有些刻在安全帽的冰霜下。</w:t>
      </w:r>
    </w:p>
    <w:p w14:paraId="648556C2">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记者：</w:t>
      </w:r>
      <w:r>
        <w:rPr>
          <w:rFonts w:hint="eastAsia" w:eastAsia="仿宋_GB2312" w:cs="Times New Roman"/>
          <w:sz w:val="28"/>
          <w:szCs w:val="28"/>
          <w:lang w:val="en-US" w:eastAsia="zh-CN"/>
        </w:rPr>
        <w:t>4月1日一早，天空下起了小雨，天阴沉沉的，四月的香格里拉依然很冷。几经颠簸，我们终于到了今天的第一站——香格里拉综合维护工区。</w:t>
      </w:r>
    </w:p>
    <w:p w14:paraId="2AAC53C0">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记者：</w:t>
      </w:r>
      <w:r>
        <w:rPr>
          <w:rFonts w:hint="eastAsia" w:eastAsia="仿宋_GB2312" w:cs="Times New Roman"/>
          <w:sz w:val="28"/>
          <w:szCs w:val="28"/>
          <w:lang w:val="en-US" w:eastAsia="zh-CN"/>
        </w:rPr>
        <w:t>海拔3300米的雪域高原之上，一条钢铁巨龙自丽江蜿蜒伸向香格里拉。这便是有着“最美进藏天路”美誉的滇藏铁路丽香段。</w:t>
      </w:r>
    </w:p>
    <w:p w14:paraId="7380EA30">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记者：</w:t>
      </w:r>
      <w:r>
        <w:rPr>
          <w:rFonts w:hint="eastAsia" w:eastAsia="仿宋_GB2312" w:cs="Times New Roman"/>
          <w:sz w:val="28"/>
          <w:szCs w:val="28"/>
          <w:lang w:val="en-US" w:eastAsia="zh-CN"/>
        </w:rPr>
        <w:t>2023年11月26号，丽香铁路正式通车并迈入养护时代。而默默守护这条生命线的正是广通工电段香格里拉综合维修工区的铁路人们。</w:t>
      </w:r>
    </w:p>
    <w:p w14:paraId="5C6242D0">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记者：</w:t>
      </w:r>
      <w:r>
        <w:rPr>
          <w:rFonts w:hint="eastAsia" w:eastAsia="仿宋_GB2312" w:cs="Times New Roman"/>
          <w:sz w:val="28"/>
          <w:szCs w:val="28"/>
          <w:lang w:val="en-US" w:eastAsia="zh-CN"/>
        </w:rPr>
        <w:t>为了让火车轮子稳稳卡在轨道上，不脱轨不颠簸，跑得又快又安全，两根钢轨的间距误差必须精准控制在一毫米以内，而这正是陈永祥和他的检修团队的主要工作之一。</w:t>
      </w:r>
    </w:p>
    <w:p w14:paraId="55A86473">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记者：</w:t>
      </w:r>
      <w:r>
        <w:rPr>
          <w:rFonts w:hint="eastAsia" w:eastAsia="仿宋_GB2312" w:cs="Times New Roman"/>
          <w:sz w:val="28"/>
          <w:szCs w:val="28"/>
          <w:lang w:val="en-US" w:eastAsia="zh-CN"/>
        </w:rPr>
        <w:t>香格里拉的天气状况，用陈永祥的话来说就是——</w:t>
      </w:r>
    </w:p>
    <w:p w14:paraId="6181AC6B">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国铁昆明局广通工电段香格里拉工区工长 陈永祥：</w:t>
      </w:r>
      <w:r>
        <w:rPr>
          <w:rFonts w:hint="eastAsia" w:eastAsia="仿宋_GB2312" w:cs="Times New Roman"/>
          <w:sz w:val="28"/>
          <w:szCs w:val="28"/>
          <w:lang w:val="en-US" w:eastAsia="zh-CN"/>
        </w:rPr>
        <w:t>一种是冬季，一种是大约在冬季。结冰的时候，它（钢轨）就会长高。然后冰化了，（钢轨）就陷下去。</w:t>
      </w:r>
    </w:p>
    <w:p w14:paraId="2AD61493">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记者：</w:t>
      </w:r>
      <w:r>
        <w:rPr>
          <w:rFonts w:hint="eastAsia" w:eastAsia="仿宋_GB2312" w:cs="Times New Roman"/>
          <w:sz w:val="28"/>
          <w:szCs w:val="28"/>
          <w:lang w:val="en-US" w:eastAsia="zh-CN"/>
        </w:rPr>
        <w:t>在这样的环境下，钢轨的高度和间距随时会发生变化。在这支平均年龄25岁的队伍里，51岁的陈永祥是经验最丰富的“老把式”，负责把控作业标准和质量。综合工区里有一个牌子，上面写着“月光·坚守”，我问他为什么。</w:t>
      </w:r>
    </w:p>
    <w:p w14:paraId="18B22438">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国铁昆明局广通工电段香格里拉工区工长 陈永祥：</w:t>
      </w:r>
      <w:r>
        <w:rPr>
          <w:rFonts w:hint="eastAsia" w:eastAsia="仿宋_GB2312" w:cs="Times New Roman"/>
          <w:sz w:val="28"/>
          <w:szCs w:val="28"/>
          <w:lang w:val="en-US" w:eastAsia="zh-CN"/>
        </w:rPr>
        <w:t>香格里拉独克宗古城有另外一个名字，叫“月光城”。还有另外一层意义，因为我们都是“夜天窗”，所以我们就在夜光下守护旅客的安全出行，也用一个个“夜天窗”在维系着我们这条民族团结的示范线。</w:t>
      </w:r>
    </w:p>
    <w:p w14:paraId="751EFE8F">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记者：</w:t>
      </w:r>
      <w:r>
        <w:rPr>
          <w:rFonts w:hint="eastAsia" w:eastAsia="仿宋_GB2312" w:cs="Times New Roman"/>
          <w:sz w:val="28"/>
          <w:szCs w:val="28"/>
          <w:lang w:val="en-US" w:eastAsia="zh-CN"/>
        </w:rPr>
        <w:t>离开香格里拉综合维护工区，我们来到了今天行程海拔最高——海拔3248米的小中甸站。小中甸站是丽香铁路唯一的货运站，集装卸、仓储、配送等功能于一体，不仅是滇西北进藏的“桥头堡”，更被称为茶马古道“新驿站”。截至2025年3月31号，累计到发铜金矿、硫铁矿、灰渣等货物89.7万吨.</w:t>
      </w:r>
    </w:p>
    <w:p w14:paraId="656F7C97">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记者：</w:t>
      </w:r>
      <w:r>
        <w:rPr>
          <w:rFonts w:hint="eastAsia" w:eastAsia="仿宋_GB2312" w:cs="Times New Roman"/>
          <w:sz w:val="28"/>
          <w:szCs w:val="28"/>
          <w:lang w:val="en-US" w:eastAsia="zh-CN"/>
        </w:rPr>
        <w:t>在货运站，正面吊是最常见的作业工具。关于正面吊，梁立是行家。</w:t>
      </w:r>
    </w:p>
    <w:p w14:paraId="275C973E">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国铁昆明局小中甸营业室装卸队正面吊司机 梁力：</w:t>
      </w:r>
      <w:r>
        <w:rPr>
          <w:rFonts w:hint="eastAsia" w:eastAsia="仿宋_GB2312" w:cs="Times New Roman"/>
          <w:sz w:val="28"/>
          <w:szCs w:val="28"/>
          <w:lang w:val="en-US" w:eastAsia="zh-CN"/>
        </w:rPr>
        <w:t>正面吊自重是71吨，加上集装箱的货物连箱子总共有106吨左右。</w:t>
      </w:r>
    </w:p>
    <w:p w14:paraId="6499B13E">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记者：</w:t>
      </w:r>
      <w:r>
        <w:rPr>
          <w:rFonts w:hint="eastAsia" w:eastAsia="仿宋_GB2312" w:cs="Times New Roman"/>
          <w:sz w:val="28"/>
          <w:szCs w:val="28"/>
          <w:lang w:val="en-US" w:eastAsia="zh-CN"/>
        </w:rPr>
        <w:t>在高海拔地区操作正面吊，梁力颇有心得。</w:t>
      </w:r>
    </w:p>
    <w:p w14:paraId="1CE88FC1">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国铁昆明局小中甸营业室装卸队正面吊司机 梁力：</w:t>
      </w:r>
      <w:r>
        <w:rPr>
          <w:rFonts w:hint="eastAsia" w:eastAsia="仿宋_GB2312" w:cs="Times New Roman"/>
          <w:sz w:val="28"/>
          <w:szCs w:val="28"/>
          <w:lang w:val="en-US" w:eastAsia="zh-CN"/>
        </w:rPr>
        <w:t>在低海拔地区都是怠速，或者技术上调整一下，慢慢地就可以（吊）起来。但是在高海拔地区必须加一点油门才能（吊）起来。</w:t>
      </w:r>
    </w:p>
    <w:p w14:paraId="222FD0D2">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记者：</w:t>
      </w:r>
      <w:r>
        <w:rPr>
          <w:rFonts w:hint="eastAsia" w:eastAsia="仿宋_GB2312" w:cs="Times New Roman"/>
          <w:sz w:val="28"/>
          <w:szCs w:val="28"/>
          <w:lang w:val="en-US" w:eastAsia="zh-CN"/>
        </w:rPr>
        <w:t>而当我问他：“在这样的地区生活还有工作，觉得辛苦吗？”</w:t>
      </w:r>
    </w:p>
    <w:p w14:paraId="09763EE4">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国铁昆明局小中甸营业室装卸队正面吊司机 梁力：</w:t>
      </w:r>
      <w:r>
        <w:rPr>
          <w:rFonts w:hint="eastAsia" w:eastAsia="仿宋_GB2312" w:cs="Times New Roman"/>
          <w:sz w:val="28"/>
          <w:szCs w:val="28"/>
          <w:lang w:val="en-US" w:eastAsia="zh-CN"/>
        </w:rPr>
        <w:t>（笑）还算可以！</w:t>
      </w:r>
    </w:p>
    <w:p w14:paraId="57D7A4EF">
      <w:pPr>
        <w:pStyle w:val="4"/>
        <w:rPr>
          <w:rFonts w:hint="default" w:eastAsia="仿宋_GB2312" w:cs="Times New Roman"/>
          <w:sz w:val="28"/>
          <w:szCs w:val="28"/>
          <w:lang w:val="en-US" w:eastAsia="zh-CN"/>
        </w:rPr>
      </w:pPr>
      <w:r>
        <w:rPr>
          <w:rFonts w:hint="eastAsia" w:ascii="楷体" w:hAnsi="楷体" w:eastAsia="楷体" w:cs="楷体"/>
          <w:sz w:val="28"/>
          <w:szCs w:val="28"/>
          <w:lang w:val="en-US" w:eastAsia="zh-CN"/>
        </w:rPr>
        <w:t>记者：</w:t>
      </w:r>
      <w:r>
        <w:rPr>
          <w:rFonts w:hint="eastAsia" w:eastAsia="仿宋_GB2312" w:cs="Times New Roman"/>
          <w:sz w:val="28"/>
          <w:szCs w:val="28"/>
          <w:lang w:val="en-US" w:eastAsia="zh-CN"/>
        </w:rPr>
        <w:t>就是这样说工作强度还算可以的梁力，每天经过他手的集装箱却有200多只。他说——</w:t>
      </w:r>
    </w:p>
    <w:p w14:paraId="26118DC2">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国铁昆明局小中甸营业室装卸队正面吊司机 梁力：</w:t>
      </w:r>
      <w:r>
        <w:rPr>
          <w:rFonts w:hint="eastAsia" w:eastAsia="仿宋_GB2312" w:cs="Times New Roman"/>
          <w:sz w:val="28"/>
          <w:szCs w:val="28"/>
          <w:lang w:val="en-US" w:eastAsia="zh-CN"/>
        </w:rPr>
        <w:t>我作为一个铁路人，我把货物发出去，我真的很自豪，很高兴！</w:t>
      </w:r>
    </w:p>
    <w:p w14:paraId="43F9998B">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记者：</w:t>
      </w:r>
      <w:r>
        <w:rPr>
          <w:rFonts w:hint="eastAsia" w:eastAsia="仿宋_GB2312" w:cs="Times New Roman"/>
          <w:sz w:val="28"/>
          <w:szCs w:val="28"/>
          <w:lang w:val="en-US" w:eastAsia="zh-CN"/>
        </w:rPr>
        <w:t>而我想说，丽香铁路有你们，我们也很自豪。</w:t>
      </w:r>
    </w:p>
    <w:p w14:paraId="0724F032">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记者：</w:t>
      </w:r>
      <w:r>
        <w:rPr>
          <w:rFonts w:hint="eastAsia" w:eastAsia="仿宋_GB2312" w:cs="Times New Roman"/>
          <w:sz w:val="28"/>
          <w:szCs w:val="28"/>
          <w:lang w:val="en-US" w:eastAsia="zh-CN"/>
        </w:rPr>
        <w:t>告别梁力，我们出发前往大名鼎鼎的金沙江特大桥。离目的地越来越近，温度也越来越高，眼前开始出现片片绿色。终于，我们见到了创造多项世界纪录的金沙江特大桥。金沙江特大桥是世界首座大跨度钢桁梁铁路悬索桥，大桥全长882.5米，主跨达660米，两端连接玉龙雪山与哈巴雪山隧道。作为“云岭天路”最险峻的咽喉要道，深度维护必不可少。</w:t>
      </w:r>
    </w:p>
    <w:p w14:paraId="7736FB06">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记者：</w:t>
      </w:r>
      <w:r>
        <w:rPr>
          <w:rFonts w:hint="eastAsia" w:eastAsia="仿宋_GB2312" w:cs="Times New Roman"/>
          <w:sz w:val="28"/>
          <w:szCs w:val="28"/>
          <w:lang w:val="en-US" w:eastAsia="zh-CN"/>
        </w:rPr>
        <w:t>“这边是哈巴雪山隧道这一头。”“我的妈呀！”“他们要是检修的话，是从这个上面爬上去？”“我的天呐！”</w:t>
      </w:r>
    </w:p>
    <w:p w14:paraId="60867B32">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记者：</w:t>
      </w:r>
      <w:r>
        <w:rPr>
          <w:rFonts w:hint="eastAsia" w:eastAsia="仿宋_GB2312" w:cs="Times New Roman"/>
          <w:sz w:val="28"/>
          <w:szCs w:val="28"/>
          <w:lang w:val="en-US" w:eastAsia="zh-CN"/>
        </w:rPr>
        <w:t>“第一次爬竹缆的时候是什么时候？”</w:t>
      </w:r>
    </w:p>
    <w:p w14:paraId="08628539">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昆明铁路局新尚维修工区工长 唐浩鹏：</w:t>
      </w:r>
      <w:r>
        <w:rPr>
          <w:rFonts w:hint="eastAsia" w:eastAsia="仿宋_GB2312" w:cs="Times New Roman"/>
          <w:sz w:val="28"/>
          <w:szCs w:val="28"/>
          <w:lang w:val="en-US" w:eastAsia="zh-CN"/>
        </w:rPr>
        <w:t>第一次是（大桥）开通前，2023年10月份。</w:t>
      </w:r>
    </w:p>
    <w:p w14:paraId="3948816F">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记者：</w:t>
      </w:r>
      <w:r>
        <w:rPr>
          <w:rFonts w:hint="eastAsia" w:eastAsia="仿宋_GB2312" w:cs="Times New Roman"/>
          <w:sz w:val="28"/>
          <w:szCs w:val="28"/>
          <w:lang w:val="en-US" w:eastAsia="zh-CN"/>
        </w:rPr>
        <w:t>“第一次爬竹缆的时候腿抖吗？”</w:t>
      </w:r>
    </w:p>
    <w:p w14:paraId="4F16D8FA">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昆明铁路局新尚维修工区工长 唐浩鹏：</w:t>
      </w:r>
      <w:r>
        <w:rPr>
          <w:rFonts w:hint="eastAsia" w:eastAsia="仿宋_GB2312" w:cs="Times New Roman"/>
          <w:sz w:val="28"/>
          <w:szCs w:val="28"/>
          <w:lang w:val="en-US" w:eastAsia="zh-CN"/>
        </w:rPr>
        <w:t>当时就比较怕，在这上面走，你就可能有点头晕或者害怕之类的。（然后）适应下，就是慢慢克服自己的这个恐惧心理，然后进行主缆的攀爬。</w:t>
      </w:r>
    </w:p>
    <w:p w14:paraId="29C89613">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昆明铁路局新尚维修工区工长 唐浩鹏：</w:t>
      </w:r>
      <w:r>
        <w:rPr>
          <w:rFonts w:hint="eastAsia" w:eastAsia="仿宋_GB2312" w:cs="Times New Roman"/>
          <w:sz w:val="28"/>
          <w:szCs w:val="28"/>
          <w:lang w:val="en-US" w:eastAsia="zh-CN"/>
        </w:rPr>
        <w:t>在几百米的高空，说不怕是假的。但只要穿上这一身工装，我就不能怂！</w:t>
      </w:r>
    </w:p>
    <w:p w14:paraId="77B1BC03">
      <w:pPr>
        <w:pStyle w:val="4"/>
        <w:rPr>
          <w:rFonts w:hint="eastAsia" w:eastAsia="仿宋_GB2312" w:cs="Times New Roman"/>
          <w:sz w:val="28"/>
          <w:szCs w:val="28"/>
          <w:lang w:val="en-US" w:eastAsia="zh-CN"/>
        </w:rPr>
      </w:pPr>
      <w:r>
        <w:rPr>
          <w:rFonts w:hint="eastAsia" w:ascii="楷体" w:hAnsi="楷体" w:eastAsia="楷体" w:cs="楷体"/>
          <w:sz w:val="28"/>
          <w:szCs w:val="28"/>
          <w:lang w:val="en-US" w:eastAsia="zh-CN"/>
        </w:rPr>
        <w:t>记者：</w:t>
      </w:r>
      <w:r>
        <w:rPr>
          <w:rFonts w:hint="eastAsia" w:eastAsia="仿宋_GB2312" w:cs="Times New Roman"/>
          <w:sz w:val="28"/>
          <w:szCs w:val="28"/>
          <w:lang w:val="en-US" w:eastAsia="zh-CN"/>
        </w:rPr>
        <w:t>在这条离天最近的铁路上，每一毫米的精度，每一只集装箱的重量，每一根悬索的张力，都被这群铁路人默默扛起。在我看来，他们不是丽香铁路传奇里的守望者，只是习惯了在云端扎根。</w:t>
      </w:r>
    </w:p>
    <w:p w14:paraId="53EF5114">
      <w:pPr>
        <w:rPr>
          <w:rFonts w:hint="eastAsia" w:ascii="Calibri" w:hAnsi="Calibri" w:eastAsia="仿宋_GB2312" w:cs="Times New Roman"/>
          <w:b/>
          <w:bCs/>
          <w:lang w:eastAsia="zh-CN"/>
        </w:rPr>
      </w:pPr>
      <w:r>
        <w:rPr>
          <w:rFonts w:hint="eastAsia" w:ascii="Calibri" w:hAnsi="Calibri" w:eastAsia="仿宋_GB2312" w:cs="Times New Roman"/>
          <w:b/>
          <w:bCs/>
          <w:lang w:val="en-US" w:eastAsia="zh-CN"/>
        </w:rPr>
        <w:t>作品二维码：</w:t>
      </w:r>
    </w:p>
    <w:p w14:paraId="1370834A">
      <w:pPr>
        <w:pStyle w:val="4"/>
        <w:rPr>
          <w:rFonts w:hint="eastAsia" w:eastAsia="仿宋_GB2312" w:cs="Times New Roman"/>
          <w:sz w:val="28"/>
          <w:szCs w:val="28"/>
          <w:lang w:val="en-US" w:eastAsia="zh-CN"/>
        </w:rPr>
      </w:pPr>
      <w:r>
        <w:rPr>
          <w:rFonts w:hint="eastAsia" w:eastAsia="仿宋_GB2312" w:cs="Times New Roman"/>
          <w:sz w:val="28"/>
          <w:szCs w:val="28"/>
          <w:lang w:val="en-US" w:eastAsia="zh-CN"/>
        </w:rPr>
        <w:drawing>
          <wp:inline distT="0" distB="0" distL="114300" distR="114300">
            <wp:extent cx="2747010" cy="2747010"/>
            <wp:effectExtent l="0" t="0" r="15240" b="15240"/>
            <wp:docPr id="6" name="图片 6"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二维码"/>
                    <pic:cNvPicPr>
                      <a:picLocks noChangeAspect="1"/>
                    </pic:cNvPicPr>
                  </pic:nvPicPr>
                  <pic:blipFill>
                    <a:blip r:embed="rId5"/>
                    <a:stretch>
                      <a:fillRect/>
                    </a:stretch>
                  </pic:blipFill>
                  <pic:spPr>
                    <a:xfrm>
                      <a:off x="0" y="0"/>
                      <a:ext cx="2747010" cy="2747010"/>
                    </a:xfrm>
                    <a:prstGeom prst="rect">
                      <a:avLst/>
                    </a:prstGeom>
                  </pic:spPr>
                </pic:pic>
              </a:graphicData>
            </a:graphic>
          </wp:inline>
        </w:drawing>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1F400CC-3AF1-46F9-B3E1-01D222DA690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7592E860-10BC-4F6D-9CE4-4FD84C21A2FC}"/>
  </w:font>
  <w:font w:name="方正仿宋_GB2312">
    <w:panose1 w:val="02000000000000000000"/>
    <w:charset w:val="86"/>
    <w:family w:val="auto"/>
    <w:pitch w:val="default"/>
    <w:sig w:usb0="A00002BF" w:usb1="184F6CFA" w:usb2="00000012" w:usb3="00000000" w:csb0="00040001" w:csb1="00000000"/>
    <w:embedRegular r:id="rId3" w:fontKey="{CFEFDD06-FC49-4600-9ED8-779316A8E223}"/>
  </w:font>
  <w:font w:name="方正小标宋简体">
    <w:panose1 w:val="02010601030101010101"/>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embedRegular r:id="rId4" w:fontKey="{19B82526-6B43-4D15-9643-EDA345D5B6EE}"/>
  </w:font>
  <w:font w:name="仿宋">
    <w:panose1 w:val="02010609060101010101"/>
    <w:charset w:val="86"/>
    <w:family w:val="auto"/>
    <w:pitch w:val="default"/>
    <w:sig w:usb0="800002BF" w:usb1="38CF7CFA" w:usb2="00000016" w:usb3="00000000" w:csb0="00040001" w:csb1="00000000"/>
    <w:embedRegular r:id="rId5" w:fontKey="{86648657-8E78-49B2-BAC0-CDCCBA9DB45C}"/>
  </w:font>
  <w:font w:name="楷体">
    <w:panose1 w:val="02010609060101010101"/>
    <w:charset w:val="86"/>
    <w:family w:val="modern"/>
    <w:pitch w:val="default"/>
    <w:sig w:usb0="800002BF" w:usb1="38CF7CFA" w:usb2="00000016" w:usb3="00000000" w:csb0="00040001" w:csb1="00000000"/>
    <w:embedRegular r:id="rId6" w:fontKey="{DB3A6607-B719-4498-A6D8-DC66CB91E4EE}"/>
  </w:font>
  <w:font w:name="仿宋_GB2312">
    <w:panose1 w:val="02010609030101010101"/>
    <w:charset w:val="86"/>
    <w:family w:val="modern"/>
    <w:pitch w:val="default"/>
    <w:sig w:usb0="00000001" w:usb1="080E0000" w:usb2="00000000" w:usb3="00000000" w:csb0="00040000" w:csb1="00000000"/>
    <w:embedRegular r:id="rId7" w:fontKey="{F115E72D-C546-4514-A385-7FE5050C12BD}"/>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7153B">
    <w:pPr>
      <w:pStyle w:val="3"/>
      <w:spacing w:after="0" w:line="320" w:lineRule="exact"/>
      <w:ind w:firstLine="602"/>
      <w:rPr>
        <w:rFonts w:hint="eastAsia" w:ascii="楷体" w:hAnsi="楷体" w:eastAsia="楷体"/>
        <w:b/>
        <w:sz w:val="30"/>
        <w:szCs w:val="3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3E4A53"/>
    <w:rsid w:val="12FE7BB6"/>
    <w:rsid w:val="22647DBB"/>
    <w:rsid w:val="25227D3C"/>
    <w:rsid w:val="291819B2"/>
    <w:rsid w:val="333631B5"/>
    <w:rsid w:val="33363900"/>
    <w:rsid w:val="34DA15F4"/>
    <w:rsid w:val="37D34094"/>
    <w:rsid w:val="4AEC6D7E"/>
    <w:rsid w:val="4CA94913"/>
    <w:rsid w:val="5D250E1A"/>
    <w:rsid w:val="657616F3"/>
    <w:rsid w:val="6B2573DB"/>
    <w:rsid w:val="6E9A619D"/>
    <w:rsid w:val="70CD2B43"/>
    <w:rsid w:val="73F26870"/>
    <w:rsid w:val="749F64A2"/>
    <w:rsid w:val="76CB0E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方正仿宋_GB2312" w:asciiTheme="minorHAnsi" w:hAnsiTheme="minorHAnsi" w:cstheme="minorBidi"/>
      <w:kern w:val="2"/>
      <w:sz w:val="32"/>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3"/>
    <w:basedOn w:val="1"/>
    <w:unhideWhenUsed/>
    <w:qFormat/>
    <w:uiPriority w:val="99"/>
    <w:pPr>
      <w:spacing w:after="120"/>
    </w:pPr>
    <w:rPr>
      <w:sz w:val="16"/>
      <w:szCs w:val="16"/>
    </w:rPr>
  </w:style>
  <w:style w:type="paragraph" w:styleId="4">
    <w:name w:val="Plain Text"/>
    <w:basedOn w:val="1"/>
    <w:qFormat/>
    <w:uiPriority w:val="0"/>
    <w:rPr>
      <w:rFonts w:ascii="宋体" w:hAnsi="Courier New"/>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9a7f4a3a-4c65-4834-b3a3-4c84e08da408</errorID>
      <errorWord>常年</errorWord>
      <group>L1_Word</group>
      <groupName>字词问题</groupName>
      <ability>L2_Typo</ability>
      <abilityName>字词错误</abilityName>
      <candidateList>
        <item>长年</item>
      </candidateList>
      <explain/>
      <paraID>1FF1E1F2</paraID>
      <start>224</start>
      <end>226</end>
      <status>unmodified</status>
      <modifiedWord/>
      <trackRevisions>false</trackRevisions>
    </reviewItem>
    <reviewItem>
      <errorID>3c614b6b-a7b9-400a-a4bd-4f1b975ecd29</errorID>
      <errorWord>26号</errorWord>
      <group>L1_Knowledge</group>
      <groupName>知识性问题</groupName>
      <ability>L2_Time</ability>
      <abilityName>日期时间</abilityName>
      <candidateList>
        <item>26日</item>
      </candidateList>
      <explain>日期表达规范为x月x日。</explain>
      <paraID>7380EA30</paraID>
      <start>11</start>
      <end>14</end>
      <status>unmodified</status>
      <modifiedWord/>
      <trackRevisions>false</trackRevisions>
    </reviewItem>
    <reviewItem>
      <errorID>4d978775-857c-4071-848d-2c726fc1986e</errorID>
      <errorWord>大夜</errorWord>
      <group>L1_Word</group>
      <groupName>字词问题</groupName>
      <ability>L2_Typo</ability>
      <abilityName>字词错误</abilityName>
      <candidateList>
        <item>大约</item>
      </candidateList>
      <explain>存在发音相近字词的误用。</explain>
      <paraID>6181AC6B</paraID>
      <start>32</start>
      <end>34</end>
      <status>unmodified</status>
      <modifiedWord/>
      <trackRevisions>false</trackRevisions>
    </reviewItem>
    <reviewItem>
      <errorID>1b140b85-1f0e-4a43-b6ea-09c6f994cc7a</errorID>
      <errorWord>31号</errorWord>
      <group>L1_Knowledge</group>
      <groupName>知识性问题</groupName>
      <ability>L2_Time</ability>
      <abilityName>日期时间</abilityName>
      <candidateList>
        <item>31日</item>
      </candidateList>
      <explain>日期表达规范为x月x日。</explain>
      <paraID>751EFE8F</paraID>
      <start>114</start>
      <end>117</end>
      <status>unmodified</status>
      <modifiedWord/>
      <trackRevisions>false</trackRevisions>
    </reviewItem>
    <reviewItem>
      <errorID>ed5c12d7-fe33-40de-bbc6-f5c6930f5e4e</errorID>
      <errorWord>.</errorWord>
      <group>L1_Format</group>
      <groupName>格式问题</groupName>
      <ability>L2_HalfPunc</ability>
      <abilityName>全半角检查</abilityName>
      <candidateList>
        <item>。</item>
      </candidateList>
      <explain>文本全半角错误。</explain>
      <paraID>751EFE8F</paraID>
      <start>141</start>
      <end>142</end>
      <status>unmodified</status>
      <modifiedWord/>
      <trackRevisions>false</trackRevisions>
    </reviewItem>
    <reviewItem>
      <errorID>46545529-4973-4f42-a390-317c38286449</errorID>
      <errorWord>吨左右</errorWord>
      <group>L1_Grammar</group>
      <groupName>语法问题</groupName>
      <ability>L2_Illogical</ability>
      <abilityName>不合逻辑</abilityName>
      <candidateList>
        <item>吨</item>
      </candidateList>
      <explain>句子中可能存在因果关系错误、自相矛盾、概念误用、主客倒置、否定不当、前后缺乏呼应等问题。</explain>
      <paraID>275C973E</paraID>
      <start>50</start>
      <end>53</end>
      <status>unmodified</status>
      <modifiedWord/>
      <trackRevisions>false</trackRevisions>
    </reviewItem>
  </reviewItems>
  <config/>
</contractReview>
</file>

<file path=customXml/itemProps1.xml><?xml version="1.0" encoding="utf-8"?>
<ds:datastoreItem xmlns:ds="http://schemas.openxmlformats.org/officeDocument/2006/customXml" ds:itemID="{1d9246f8-0d92-40d2-9137-411ee3b3d52b}">
  <ds:schemaRefs/>
</ds:datastoreItem>
</file>

<file path=docProps/app.xml><?xml version="1.0" encoding="utf-8"?>
<Properties xmlns="http://schemas.openxmlformats.org/officeDocument/2006/extended-properties" xmlns:vt="http://schemas.openxmlformats.org/officeDocument/2006/docPropsVTypes">
  <Template>Normal.dotm</Template>
  <Pages>9</Pages>
  <Words>3112</Words>
  <Characters>3393</Characters>
  <Lines>0</Lines>
  <Paragraphs>0</Paragraphs>
  <TotalTime>51</TotalTime>
  <ScaleCrop>false</ScaleCrop>
  <LinksUpToDate>false</LinksUpToDate>
  <CharactersWithSpaces>3546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2026-04-07T06:18:00Z</dcterms:created>
  <dc:creator>EDY</dc:creator>
  <cp:lastModifiedBy>王妍</cp:lastModifiedBy>
  <dcterms:modified xsi:type="dcterms:W3CDTF">2026-04-29T05:15:05Z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eyJoZGlkIjoiMmZlYWQ2YjkxNzMzOGFiZjlhN2Y0NTNlZjA4NWNiOTciLCJ1c2VySWQiOiIyMzk0NTYyNzkifQ==</vt:lpwstr>
  </property>
  <property fmtid="{D5CDD505-2E9C-101B-9397-08002B2CF9AE}" pid="4" name="ICV">
    <vt:lpwstr>FCD61A93DBA34D3D8C16F7D7C4A3B277_13</vt:lpwstr>
  </property>
</Properties>
</file>