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FD7B4">
      <w:pPr>
        <w:tabs>
          <w:tab w:val="right" w:pos="8730"/>
        </w:tabs>
        <w:spacing w:line="580" w:lineRule="exact"/>
        <w:outlineLvl w:val="0"/>
        <w:rPr>
          <w:rFonts w:ascii="黑体" w:hAnsi="黑体" w:eastAsia="黑体"/>
          <w:color w:val="000000"/>
          <w:szCs w:val="32"/>
        </w:rPr>
      </w:pPr>
      <w:r>
        <w:rPr>
          <w:rFonts w:hint="eastAsia" w:ascii="黑体" w:hAnsi="黑体" w:eastAsia="黑体"/>
          <w:color w:val="000000"/>
          <w:szCs w:val="32"/>
        </w:rPr>
        <w:t>附件4</w:t>
      </w:r>
    </w:p>
    <w:p w14:paraId="6D0CE84C">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5"/>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2DDC1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4BD991E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046B63A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0F2BFFB0">
            <w:pPr>
              <w:spacing w:line="240" w:lineRule="exact"/>
              <w:jc w:val="left"/>
              <w:rPr>
                <w:rFonts w:ascii="仿宋" w:hAnsi="仿宋" w:eastAsia="仿宋" w:cs="仿宋"/>
                <w:b/>
                <w:bCs/>
                <w:color w:val="000000"/>
                <w:sz w:val="21"/>
                <w:szCs w:val="15"/>
              </w:rPr>
            </w:pPr>
            <w:r>
              <w:rPr>
                <w:rFonts w:hint="eastAsia" w:ascii="仿宋" w:hAnsi="仿宋" w:eastAsia="仿宋" w:cs="仿宋"/>
                <w:b/>
                <w:bCs/>
                <w:color w:val="000000"/>
                <w:sz w:val="21"/>
                <w:szCs w:val="15"/>
              </w:rPr>
              <w:t>耍伎俩规避劳动关系，终将得不偿失</w:t>
            </w:r>
          </w:p>
        </w:tc>
        <w:tc>
          <w:tcPr>
            <w:tcW w:w="1819" w:type="dxa"/>
            <w:gridSpan w:val="2"/>
            <w:tcBorders>
              <w:tl2br w:val="nil"/>
              <w:tr2bl w:val="nil"/>
            </w:tcBorders>
            <w:vAlign w:val="center"/>
          </w:tcPr>
          <w:p w14:paraId="6FF1659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4BD7F0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575697CA">
            <w:pPr>
              <w:spacing w:line="240" w:lineRule="exact"/>
              <w:ind w:firstLine="211" w:firstLineChars="100"/>
              <w:rPr>
                <w:rFonts w:ascii="仿宋" w:hAnsi="仿宋" w:eastAsia="仿宋" w:cs="仿宋"/>
                <w:b/>
                <w:bCs/>
                <w:color w:val="000000"/>
                <w:sz w:val="21"/>
                <w:szCs w:val="15"/>
              </w:rPr>
            </w:pPr>
            <w:r>
              <w:rPr>
                <w:rFonts w:hint="eastAsia" w:ascii="仿宋" w:hAnsi="仿宋" w:eastAsia="仿宋" w:cs="仿宋"/>
                <w:b/>
                <w:bCs/>
                <w:color w:val="000000"/>
                <w:sz w:val="21"/>
                <w:szCs w:val="15"/>
              </w:rPr>
              <w:t>评论</w:t>
            </w:r>
          </w:p>
        </w:tc>
      </w:tr>
      <w:tr w14:paraId="4E1A3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2D7319A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422C34A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371CBB20">
            <w:pPr>
              <w:spacing w:line="240" w:lineRule="exact"/>
              <w:rPr>
                <w:rFonts w:hint="default" w:ascii="仿宋" w:hAnsi="仿宋" w:eastAsia="仿宋" w:cs="仿宋"/>
                <w:b/>
                <w:bCs/>
                <w:color w:val="000000"/>
                <w:sz w:val="21"/>
                <w:szCs w:val="15"/>
                <w:lang w:val="en-US" w:eastAsia="zh-CN"/>
              </w:rPr>
            </w:pPr>
            <w:r>
              <w:rPr>
                <w:rFonts w:hint="eastAsia" w:ascii="仿宋" w:hAnsi="仿宋" w:eastAsia="仿宋" w:cs="仿宋"/>
                <w:b/>
                <w:bCs/>
                <w:color w:val="000000"/>
                <w:sz w:val="21"/>
                <w:szCs w:val="15"/>
              </w:rPr>
              <w:t>15</w:t>
            </w:r>
            <w:r>
              <w:rPr>
                <w:rFonts w:hint="eastAsia" w:ascii="仿宋" w:hAnsi="仿宋" w:eastAsia="仿宋" w:cs="仿宋"/>
                <w:b/>
                <w:bCs/>
                <w:color w:val="000000"/>
                <w:sz w:val="21"/>
                <w:szCs w:val="15"/>
                <w:lang w:val="en-US" w:eastAsia="zh-CN"/>
              </w:rPr>
              <w:t>14字</w:t>
            </w:r>
          </w:p>
        </w:tc>
        <w:tc>
          <w:tcPr>
            <w:tcW w:w="1819" w:type="dxa"/>
            <w:gridSpan w:val="2"/>
            <w:tcBorders>
              <w:tl2br w:val="nil"/>
              <w:tr2bl w:val="nil"/>
            </w:tcBorders>
            <w:vAlign w:val="center"/>
          </w:tcPr>
          <w:p w14:paraId="3611035E">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19A72456">
            <w:pPr>
              <w:spacing w:line="240" w:lineRule="exact"/>
              <w:ind w:firstLine="211" w:firstLineChars="100"/>
              <w:rPr>
                <w:rFonts w:ascii="仿宋" w:hAnsi="仿宋" w:eastAsia="仿宋" w:cs="仿宋"/>
                <w:b/>
                <w:bCs/>
                <w:color w:val="000000"/>
                <w:sz w:val="21"/>
                <w:szCs w:val="15"/>
              </w:rPr>
            </w:pPr>
            <w:r>
              <w:rPr>
                <w:rFonts w:hint="eastAsia" w:ascii="仿宋" w:hAnsi="仿宋" w:eastAsia="仿宋" w:cs="仿宋"/>
                <w:b/>
                <w:bCs/>
                <w:color w:val="000000"/>
                <w:sz w:val="21"/>
                <w:szCs w:val="15"/>
              </w:rPr>
              <w:t>社评</w:t>
            </w:r>
          </w:p>
        </w:tc>
      </w:tr>
      <w:tr w14:paraId="14BF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2634A62B">
            <w:pPr>
              <w:spacing w:line="320" w:lineRule="exact"/>
              <w:jc w:val="center"/>
              <w:rPr>
                <w:rFonts w:ascii="华文中宋" w:hAnsi="华文中宋" w:eastAsia="华文中宋"/>
                <w:color w:val="000000"/>
                <w:sz w:val="28"/>
              </w:rPr>
            </w:pPr>
          </w:p>
        </w:tc>
        <w:tc>
          <w:tcPr>
            <w:tcW w:w="3728" w:type="dxa"/>
            <w:gridSpan w:val="4"/>
            <w:vMerge w:val="continue"/>
            <w:tcBorders>
              <w:tl2br w:val="nil"/>
              <w:tr2bl w:val="nil"/>
            </w:tcBorders>
            <w:vAlign w:val="center"/>
          </w:tcPr>
          <w:p w14:paraId="395E9DDA">
            <w:pPr>
              <w:spacing w:line="380" w:lineRule="exact"/>
              <w:ind w:firstLine="560"/>
              <w:jc w:val="center"/>
              <w:rPr>
                <w:rFonts w:ascii="华文中宋" w:hAnsi="华文中宋" w:eastAsia="华文中宋"/>
                <w:color w:val="000000"/>
                <w:sz w:val="21"/>
                <w:szCs w:val="21"/>
              </w:rPr>
            </w:pPr>
          </w:p>
        </w:tc>
        <w:tc>
          <w:tcPr>
            <w:tcW w:w="1819" w:type="dxa"/>
            <w:gridSpan w:val="2"/>
            <w:tcBorders>
              <w:tl2br w:val="nil"/>
              <w:tr2bl w:val="nil"/>
            </w:tcBorders>
            <w:vAlign w:val="center"/>
          </w:tcPr>
          <w:p w14:paraId="436B7CB8">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56E71904">
            <w:pPr>
              <w:spacing w:line="240" w:lineRule="exact"/>
              <w:ind w:firstLine="211" w:firstLineChars="100"/>
              <w:rPr>
                <w:rFonts w:ascii="仿宋" w:hAnsi="仿宋" w:eastAsia="仿宋" w:cs="仿宋"/>
                <w:b/>
                <w:color w:val="000000"/>
                <w:sz w:val="21"/>
                <w:szCs w:val="15"/>
              </w:rPr>
            </w:pPr>
            <w:r>
              <w:rPr>
                <w:rFonts w:hint="eastAsia" w:ascii="仿宋" w:hAnsi="仿宋" w:eastAsia="仿宋" w:cs="仿宋"/>
                <w:b/>
                <w:color w:val="000000"/>
                <w:sz w:val="21"/>
                <w:szCs w:val="15"/>
              </w:rPr>
              <w:t>中文</w:t>
            </w:r>
          </w:p>
        </w:tc>
      </w:tr>
      <w:tr w14:paraId="1E631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70FBF5ED">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1CE0002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470DC080">
            <w:pPr>
              <w:spacing w:line="240" w:lineRule="exact"/>
              <w:rPr>
                <w:rFonts w:ascii="华文中宋" w:hAnsi="华文中宋" w:eastAsia="华文中宋"/>
                <w:b/>
                <w:bCs/>
                <w:color w:val="000000"/>
                <w:sz w:val="21"/>
                <w:szCs w:val="21"/>
              </w:rPr>
            </w:pPr>
            <w:r>
              <w:rPr>
                <w:rFonts w:hint="eastAsia" w:ascii="仿宋" w:hAnsi="仿宋" w:eastAsia="仿宋" w:cs="仿宋"/>
                <w:b/>
                <w:bCs/>
                <w:color w:val="000000"/>
                <w:sz w:val="21"/>
                <w:szCs w:val="15"/>
              </w:rPr>
              <w:t>张伟杰</w:t>
            </w:r>
          </w:p>
        </w:tc>
        <w:tc>
          <w:tcPr>
            <w:tcW w:w="1819" w:type="dxa"/>
            <w:gridSpan w:val="2"/>
            <w:tcBorders>
              <w:tl2br w:val="nil"/>
              <w:tr2bl w:val="nil"/>
            </w:tcBorders>
            <w:vAlign w:val="center"/>
          </w:tcPr>
          <w:p w14:paraId="219098B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26FBF19E">
            <w:pPr>
              <w:spacing w:line="240" w:lineRule="exact"/>
              <w:rPr>
                <w:rFonts w:ascii="仿宋" w:hAnsi="仿宋" w:eastAsia="仿宋" w:cs="仿宋"/>
                <w:b/>
                <w:bCs/>
                <w:color w:val="000000"/>
                <w:sz w:val="21"/>
                <w:szCs w:val="15"/>
              </w:rPr>
            </w:pPr>
            <w:r>
              <w:rPr>
                <w:rFonts w:hint="eastAsia" w:ascii="仿宋" w:hAnsi="仿宋" w:eastAsia="仿宋" w:cs="仿宋"/>
                <w:b/>
                <w:bCs/>
                <w:color w:val="000000"/>
                <w:sz w:val="21"/>
                <w:szCs w:val="15"/>
              </w:rPr>
              <w:t>刘文宁、吴迪</w:t>
            </w:r>
          </w:p>
        </w:tc>
      </w:tr>
      <w:tr w14:paraId="006D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4752CDA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3E5B126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5D0EA6DB">
            <w:pPr>
              <w:spacing w:line="260" w:lineRule="exact"/>
              <w:rPr>
                <w:rFonts w:ascii="方正仿宋_GB2312" w:hAnsi="仿宋"/>
                <w:b/>
                <w:color w:val="000000"/>
                <w:szCs w:val="21"/>
              </w:rPr>
            </w:pPr>
            <w:r>
              <w:rPr>
                <w:rFonts w:hint="eastAsia" w:ascii="仿宋" w:hAnsi="仿宋" w:eastAsia="仿宋" w:cs="仿宋"/>
                <w:b/>
                <w:color w:val="000000"/>
                <w:spacing w:val="-6"/>
                <w:sz w:val="21"/>
                <w:szCs w:val="15"/>
              </w:rPr>
              <w:t>工人日报社</w:t>
            </w:r>
          </w:p>
        </w:tc>
        <w:tc>
          <w:tcPr>
            <w:tcW w:w="1819" w:type="dxa"/>
            <w:gridSpan w:val="2"/>
            <w:tcBorders>
              <w:tl2br w:val="nil"/>
              <w:tr2bl w:val="nil"/>
            </w:tcBorders>
            <w:vAlign w:val="center"/>
          </w:tcPr>
          <w:p w14:paraId="3C40F777">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021AC081">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1C355D1C">
            <w:pPr>
              <w:spacing w:line="240" w:lineRule="exact"/>
              <w:rPr>
                <w:rFonts w:hint="eastAsia" w:ascii="仿宋" w:hAnsi="仿宋" w:eastAsia="仿宋" w:cs="仿宋"/>
                <w:b/>
                <w:color w:val="000000"/>
                <w:sz w:val="21"/>
                <w:szCs w:val="15"/>
                <w:lang w:eastAsia="zh-CN"/>
              </w:rPr>
            </w:pPr>
            <w:r>
              <w:rPr>
                <w:rFonts w:hint="eastAsia" w:ascii="仿宋" w:hAnsi="仿宋" w:eastAsia="仿宋" w:cs="仿宋"/>
                <w:b/>
                <w:color w:val="000000"/>
                <w:sz w:val="21"/>
                <w:szCs w:val="15"/>
              </w:rPr>
              <w:t>工人日报</w:t>
            </w:r>
            <w:r>
              <w:rPr>
                <w:rFonts w:hint="eastAsia" w:ascii="仿宋" w:hAnsi="仿宋" w:eastAsia="仿宋" w:cs="仿宋"/>
                <w:b/>
                <w:color w:val="000000"/>
                <w:sz w:val="21"/>
                <w:szCs w:val="15"/>
                <w:lang w:eastAsia="zh-CN"/>
              </w:rPr>
              <w:t>客户端</w:t>
            </w:r>
          </w:p>
        </w:tc>
      </w:tr>
      <w:tr w14:paraId="64168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2"/>
            <w:tcBorders>
              <w:tl2br w:val="nil"/>
              <w:tr2bl w:val="nil"/>
            </w:tcBorders>
            <w:vAlign w:val="center"/>
          </w:tcPr>
          <w:p w14:paraId="3625AA8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01953E9D">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23"/>
                <w:sz w:val="24"/>
                <w:szCs w:val="21"/>
              </w:rPr>
              <w:t>（</w:t>
            </w:r>
            <w:r>
              <w:rPr>
                <w:rFonts w:hint="eastAsia" w:ascii="华文中宋" w:hAnsi="华文中宋" w:eastAsia="华文中宋"/>
                <w:color w:val="000000"/>
                <w:spacing w:val="-23"/>
                <w:sz w:val="22"/>
                <w:szCs w:val="21"/>
              </w:rPr>
              <w:t>名称和版次）</w:t>
            </w:r>
          </w:p>
        </w:tc>
        <w:tc>
          <w:tcPr>
            <w:tcW w:w="3216" w:type="dxa"/>
            <w:gridSpan w:val="3"/>
            <w:tcBorders>
              <w:tl2br w:val="nil"/>
              <w:tr2bl w:val="nil"/>
            </w:tcBorders>
            <w:vAlign w:val="center"/>
          </w:tcPr>
          <w:p w14:paraId="45214C0E">
            <w:pPr>
              <w:spacing w:line="260" w:lineRule="exact"/>
              <w:rPr>
                <w:rFonts w:ascii="方正仿宋_GB2312" w:hAnsi="仿宋"/>
                <w:b/>
                <w:color w:val="000000"/>
                <w:sz w:val="24"/>
                <w:szCs w:val="24"/>
              </w:rPr>
            </w:pPr>
            <w:r>
              <w:rPr>
                <w:rFonts w:hint="eastAsia" w:ascii="方正仿宋_GB2312" w:hAnsi="仿宋"/>
                <w:b/>
                <w:color w:val="000000"/>
                <w:sz w:val="24"/>
                <w:szCs w:val="24"/>
              </w:rPr>
              <w:t>新闻评论版五版</w:t>
            </w:r>
          </w:p>
        </w:tc>
        <w:tc>
          <w:tcPr>
            <w:tcW w:w="872" w:type="dxa"/>
            <w:tcBorders>
              <w:tl2br w:val="nil"/>
              <w:tr2bl w:val="nil"/>
            </w:tcBorders>
            <w:vAlign w:val="center"/>
          </w:tcPr>
          <w:p w14:paraId="75B6E4C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发布日期</w:t>
            </w:r>
          </w:p>
        </w:tc>
        <w:tc>
          <w:tcPr>
            <w:tcW w:w="4221" w:type="dxa"/>
            <w:gridSpan w:val="4"/>
            <w:tcBorders>
              <w:tl2br w:val="nil"/>
              <w:tr2bl w:val="nil"/>
            </w:tcBorders>
            <w:vAlign w:val="center"/>
          </w:tcPr>
          <w:p w14:paraId="4F6E2779">
            <w:pPr>
              <w:spacing w:line="260" w:lineRule="exact"/>
              <w:ind w:firstLine="211" w:firstLineChars="100"/>
              <w:rPr>
                <w:rFonts w:hint="default" w:ascii="方正仿宋_GB2312" w:hAnsi="仿宋" w:eastAsia="仿宋"/>
                <w:b/>
                <w:color w:val="000000"/>
                <w:szCs w:val="21"/>
                <w:lang w:val="en-US" w:eastAsia="zh-CN"/>
              </w:rPr>
            </w:pPr>
            <w:r>
              <w:rPr>
                <w:rFonts w:hint="eastAsia" w:ascii="仿宋" w:hAnsi="仿宋" w:eastAsia="仿宋" w:cs="仿宋"/>
                <w:b/>
                <w:color w:val="000000"/>
                <w:sz w:val="21"/>
                <w:szCs w:val="15"/>
              </w:rPr>
              <w:t>2025年9月10日</w:t>
            </w:r>
            <w:r>
              <w:rPr>
                <w:rFonts w:hint="eastAsia" w:ascii="仿宋" w:hAnsi="仿宋" w:eastAsia="仿宋" w:cs="仿宋"/>
                <w:b/>
                <w:color w:val="000000"/>
                <w:sz w:val="21"/>
                <w:szCs w:val="15"/>
                <w:lang w:val="en-US" w:eastAsia="zh-CN"/>
              </w:rPr>
              <w:t xml:space="preserve"> 11:09</w:t>
            </w:r>
            <w:bookmarkStart w:id="0" w:name="_GoBack"/>
            <w:bookmarkEnd w:id="0"/>
          </w:p>
        </w:tc>
      </w:tr>
      <w:tr w14:paraId="1406F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2"/>
            <w:tcBorders>
              <w:tl2br w:val="nil"/>
              <w:tr2bl w:val="nil"/>
            </w:tcBorders>
            <w:vAlign w:val="center"/>
          </w:tcPr>
          <w:p w14:paraId="482F4885">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w:t>
            </w:r>
            <w:r>
              <w:rPr>
                <w:rFonts w:ascii="华文中宋" w:hAnsi="华文中宋" w:eastAsia="华文中宋"/>
                <w:color w:val="000000"/>
                <w:sz w:val="24"/>
                <w:szCs w:val="21"/>
              </w:rPr>
              <w:t>作品</w:t>
            </w:r>
          </w:p>
          <w:p w14:paraId="32E8EA80">
            <w:pPr>
              <w:spacing w:line="320" w:lineRule="exact"/>
              <w:jc w:val="center"/>
              <w:rPr>
                <w:rFonts w:ascii="方正仿宋_GB2312" w:hAnsi="仿宋" w:eastAsia="华文中宋"/>
                <w:color w:val="000000"/>
                <w:szCs w:val="21"/>
              </w:rPr>
            </w:pPr>
            <w:r>
              <w:rPr>
                <w:rFonts w:hint="eastAsia" w:ascii="华文中宋" w:hAnsi="华文中宋" w:eastAsia="华文中宋"/>
                <w:color w:val="000000"/>
                <w:sz w:val="24"/>
                <w:szCs w:val="21"/>
              </w:rPr>
              <w:t>链接</w:t>
            </w:r>
          </w:p>
        </w:tc>
        <w:tc>
          <w:tcPr>
            <w:tcW w:w="5035" w:type="dxa"/>
            <w:gridSpan w:val="5"/>
            <w:tcBorders>
              <w:tl2br w:val="nil"/>
              <w:tr2bl w:val="nil"/>
            </w:tcBorders>
            <w:vAlign w:val="center"/>
          </w:tcPr>
          <w:p w14:paraId="4A52129D">
            <w:pPr>
              <w:spacing w:line="260" w:lineRule="exact"/>
              <w:rPr>
                <w:rFonts w:ascii="华文中宋" w:hAnsi="华文中宋" w:eastAsia="华文中宋"/>
                <w:color w:val="000000"/>
                <w:sz w:val="21"/>
                <w:szCs w:val="21"/>
              </w:rPr>
            </w:pPr>
            <w:r>
              <w:rPr>
                <w:rFonts w:ascii="华文中宋" w:hAnsi="华文中宋" w:eastAsia="华文中宋"/>
                <w:color w:val="000000"/>
                <w:sz w:val="21"/>
                <w:szCs w:val="21"/>
              </w:rPr>
              <w:t>https://app.grrb.com.cn/webDetails/news?id=13774285&amp;tenantId=124&amp;uid=67f87bd6062fd57de107b716</w:t>
            </w:r>
          </w:p>
        </w:tc>
        <w:tc>
          <w:tcPr>
            <w:tcW w:w="1742" w:type="dxa"/>
            <w:gridSpan w:val="2"/>
            <w:tcBorders>
              <w:tl2br w:val="nil"/>
              <w:tr2bl w:val="nil"/>
            </w:tcBorders>
            <w:vAlign w:val="center"/>
          </w:tcPr>
          <w:p w14:paraId="547953EA">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5849A40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20281BA8">
            <w:pPr>
              <w:spacing w:line="260" w:lineRule="exact"/>
              <w:rPr>
                <w:rFonts w:ascii="华文中宋" w:hAnsi="华文中宋" w:eastAsia="华文中宋"/>
                <w:color w:val="000000"/>
                <w:sz w:val="21"/>
                <w:szCs w:val="21"/>
              </w:rPr>
            </w:pPr>
            <w:r>
              <w:rPr>
                <w:rFonts w:hint="eastAsia" w:ascii="华文中宋" w:hAnsi="华文中宋" w:eastAsia="华文中宋"/>
                <w:color w:val="000000"/>
                <w:sz w:val="21"/>
                <w:szCs w:val="21"/>
              </w:rPr>
              <w:t>否</w:t>
            </w:r>
          </w:p>
        </w:tc>
      </w:tr>
      <w:tr w14:paraId="6191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6547738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w:t>
            </w:r>
          </w:p>
          <w:p w14:paraId="3B2F38E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w:t>
            </w:r>
          </w:p>
          <w:p w14:paraId="1FCF24E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4FBA6D3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w:t>
            </w:r>
          </w:p>
        </w:tc>
        <w:tc>
          <w:tcPr>
            <w:tcW w:w="8821" w:type="dxa"/>
            <w:gridSpan w:val="9"/>
            <w:tcBorders>
              <w:tl2br w:val="nil"/>
              <w:tr2bl w:val="nil"/>
            </w:tcBorders>
            <w:vAlign w:val="center"/>
          </w:tcPr>
          <w:p w14:paraId="30B9D3CC">
            <w:pPr>
              <w:ind w:firstLine="422" w:firstLineChars="200"/>
              <w:rPr>
                <w:rFonts w:ascii="仿宋" w:hAnsi="仿宋" w:eastAsia="仿宋"/>
                <w:color w:val="000000"/>
                <w:w w:val="95"/>
                <w:sz w:val="21"/>
                <w:szCs w:val="21"/>
              </w:rPr>
            </w:pPr>
            <w:r>
              <w:rPr>
                <w:rFonts w:hint="eastAsia" w:ascii="仿宋" w:hAnsi="仿宋" w:eastAsia="仿宋" w:cs="仿宋"/>
                <w:b/>
                <w:bCs/>
                <w:color w:val="000000"/>
                <w:sz w:val="21"/>
                <w:szCs w:val="21"/>
              </w:rPr>
              <w:t>工人日报社评《耍伎俩规避劳动关系,终将得不偿失》以该报系列报道“破除‘障眼法’，构建和谐劳动关系”为依托，将当前一些用人单位规避劳动关系的常用手段展现出来，从“试用期合同”的超长试用陷阱，到“劳务合同”的偷梁换柱，再到法定代表人个人雇佣的“甩锅”操作，每一种伎俩都直接侵犯劳动者权益。这些行为不仅让劳动者陷入“付出劳动却无保障”的困境，更损害了劳动用工的法治底线。该篇社评用鲜活的案例与“大白话”似的表述，剖析了某些用人单位规避责任的原因与可能承担的责任。更难能可贵的是，该文并未停留在揭露问题层面，而是进一步提供了解决问题的思路。它清晰阐释了司法实践中认定劳动关系的三个核心标准，打破了用人单位试图通过合同名称、用工形式掩盖真实劳动关系的幻想。这不仅为劳动者维权提供了明确的法理依据，也给用人单位敲响了警钟：任何规避劳动关系的行为，在法律的严谨认定面前都将无所遁形。同时，社评从用人单位、劳动者、监管部门三个维度提出构建和谐劳动关系的建议，既强调用人单位依法用工的责任，也鼓励劳动者增强维权意识，更呼吁监管部门加大执法力度，形成了完整的权益保障闭环。</w:t>
            </w:r>
          </w:p>
        </w:tc>
      </w:tr>
      <w:tr w14:paraId="05ED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52EDBDD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7E192A1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3E0CDE8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1785E9C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00" w:type="dxa"/>
            <w:gridSpan w:val="2"/>
            <w:tcBorders>
              <w:tl2br w:val="nil"/>
              <w:tr2bl w:val="nil"/>
            </w:tcBorders>
            <w:vAlign w:val="center"/>
          </w:tcPr>
          <w:p w14:paraId="50544D5E">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3AE2E0F0">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421" w:type="dxa"/>
            <w:gridSpan w:val="7"/>
            <w:tcBorders>
              <w:tl2br w:val="nil"/>
              <w:tr2bl w:val="nil"/>
            </w:tcBorders>
            <w:vAlign w:val="center"/>
          </w:tcPr>
          <w:p w14:paraId="06553DB1">
            <w:pPr>
              <w:spacing w:line="280" w:lineRule="exact"/>
              <w:rPr>
                <w:rFonts w:ascii="仿宋" w:hAnsi="仿宋" w:eastAsia="仿宋"/>
                <w:color w:val="000000"/>
                <w:szCs w:val="21"/>
              </w:rPr>
            </w:pPr>
            <w:r>
              <w:rPr>
                <w:rFonts w:ascii="仿宋" w:hAnsi="仿宋" w:eastAsia="仿宋"/>
                <w:color w:val="000000"/>
                <w:szCs w:val="21"/>
              </w:rPr>
              <w:t>https://www.peopleapp.com/column/30050224643-500007081229</w:t>
            </w:r>
          </w:p>
        </w:tc>
      </w:tr>
      <w:tr w14:paraId="599AB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079823D5">
            <w:pPr>
              <w:spacing w:line="320" w:lineRule="exact"/>
              <w:jc w:val="center"/>
              <w:rPr>
                <w:rFonts w:ascii="华文中宋" w:hAnsi="华文中宋" w:eastAsia="华文中宋"/>
                <w:color w:val="000000"/>
                <w:sz w:val="28"/>
              </w:rPr>
            </w:pPr>
          </w:p>
        </w:tc>
        <w:tc>
          <w:tcPr>
            <w:tcW w:w="1400" w:type="dxa"/>
            <w:gridSpan w:val="2"/>
            <w:tcBorders>
              <w:tl2br w:val="nil"/>
              <w:tr2bl w:val="nil"/>
            </w:tcBorders>
            <w:vAlign w:val="center"/>
          </w:tcPr>
          <w:p w14:paraId="71EDDE3A">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594E97A2">
            <w:pPr>
              <w:spacing w:line="240" w:lineRule="exact"/>
              <w:jc w:val="center"/>
              <w:rPr>
                <w:rFonts w:ascii="仿宋" w:hAnsi="仿宋" w:eastAsia="楷体"/>
                <w:color w:val="000000"/>
                <w:sz w:val="21"/>
                <w:szCs w:val="21"/>
              </w:rPr>
            </w:pPr>
            <w:r>
              <w:rPr>
                <w:rFonts w:hint="eastAsia" w:ascii="楷体" w:hAnsi="楷体" w:eastAsia="楷体" w:cs="楷体"/>
                <w:b/>
                <w:bCs/>
                <w:color w:val="000000"/>
                <w:sz w:val="21"/>
                <w:szCs w:val="21"/>
              </w:rPr>
              <w:t>传播量</w:t>
            </w:r>
          </w:p>
        </w:tc>
        <w:tc>
          <w:tcPr>
            <w:tcW w:w="1323" w:type="dxa"/>
            <w:tcBorders>
              <w:tl2br w:val="nil"/>
              <w:tr2bl w:val="nil"/>
            </w:tcBorders>
            <w:vAlign w:val="center"/>
          </w:tcPr>
          <w:p w14:paraId="751D2FB3">
            <w:pPr>
              <w:spacing w:line="240" w:lineRule="exact"/>
              <w:rPr>
                <w:rFonts w:ascii="仿宋" w:hAnsi="仿宋" w:eastAsia="仿宋"/>
                <w:color w:val="000000"/>
                <w:sz w:val="21"/>
                <w:szCs w:val="21"/>
              </w:rPr>
            </w:pPr>
            <w:r>
              <w:rPr>
                <w:rFonts w:hint="eastAsia" w:ascii="仿宋" w:hAnsi="仿宋" w:eastAsia="仿宋"/>
                <w:color w:val="000000"/>
                <w:sz w:val="21"/>
                <w:szCs w:val="21"/>
              </w:rPr>
              <w:t>9.1万</w:t>
            </w:r>
          </w:p>
        </w:tc>
        <w:tc>
          <w:tcPr>
            <w:tcW w:w="1005" w:type="dxa"/>
            <w:tcBorders>
              <w:tl2br w:val="nil"/>
              <w:tr2bl w:val="nil"/>
            </w:tcBorders>
            <w:vAlign w:val="center"/>
          </w:tcPr>
          <w:p w14:paraId="3863F69D">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228CAE1A">
            <w:pPr>
              <w:spacing w:line="240" w:lineRule="exact"/>
              <w:jc w:val="center"/>
              <w:rPr>
                <w:rFonts w:ascii="仿宋" w:hAnsi="仿宋" w:eastAsia="仿宋"/>
                <w:color w:val="000000"/>
                <w:sz w:val="21"/>
                <w:szCs w:val="21"/>
              </w:rPr>
            </w:pPr>
            <w:r>
              <w:rPr>
                <w:rFonts w:hint="eastAsia" w:ascii="楷体" w:hAnsi="楷体" w:eastAsia="楷体" w:cs="楷体"/>
                <w:b/>
                <w:bCs/>
                <w:color w:val="000000"/>
                <w:sz w:val="21"/>
                <w:szCs w:val="21"/>
              </w:rPr>
              <w:t>互动量</w:t>
            </w:r>
          </w:p>
        </w:tc>
        <w:tc>
          <w:tcPr>
            <w:tcW w:w="2439" w:type="dxa"/>
            <w:gridSpan w:val="3"/>
            <w:tcBorders>
              <w:tl2br w:val="nil"/>
              <w:tr2bl w:val="nil"/>
            </w:tcBorders>
            <w:vAlign w:val="center"/>
          </w:tcPr>
          <w:p w14:paraId="2BCC58A9">
            <w:pPr>
              <w:spacing w:line="240" w:lineRule="exact"/>
              <w:rPr>
                <w:rFonts w:ascii="仿宋" w:hAnsi="仿宋" w:eastAsia="仿宋"/>
                <w:color w:val="000000"/>
                <w:sz w:val="21"/>
                <w:szCs w:val="21"/>
              </w:rPr>
            </w:pPr>
            <w:r>
              <w:rPr>
                <w:rFonts w:ascii="仿宋" w:hAnsi="仿宋" w:eastAsia="仿宋"/>
                <w:color w:val="000000"/>
                <w:sz w:val="21"/>
                <w:szCs w:val="21"/>
              </w:rPr>
              <w:t>91231</w:t>
            </w:r>
          </w:p>
        </w:tc>
        <w:tc>
          <w:tcPr>
            <w:tcW w:w="1122" w:type="dxa"/>
            <w:tcBorders>
              <w:tl2br w:val="nil"/>
              <w:tr2bl w:val="nil"/>
            </w:tcBorders>
            <w:vAlign w:val="center"/>
          </w:tcPr>
          <w:p w14:paraId="64BEEE07">
            <w:pPr>
              <w:spacing w:line="240" w:lineRule="exact"/>
              <w:rPr>
                <w:rFonts w:ascii="仿宋" w:hAnsi="仿宋" w:eastAsia="仿宋"/>
                <w:color w:val="000000"/>
                <w:sz w:val="21"/>
                <w:szCs w:val="21"/>
              </w:rPr>
            </w:pPr>
            <w:r>
              <w:rPr>
                <w:rFonts w:hint="eastAsia" w:ascii="楷体" w:hAnsi="楷体" w:eastAsia="楷体" w:cs="楷体"/>
                <w:b/>
                <w:bCs/>
                <w:color w:val="000000"/>
                <w:sz w:val="21"/>
                <w:szCs w:val="21"/>
              </w:rPr>
              <w:t>全网总传播量（万）</w:t>
            </w:r>
          </w:p>
        </w:tc>
        <w:tc>
          <w:tcPr>
            <w:tcW w:w="1532" w:type="dxa"/>
            <w:tcBorders>
              <w:tl2br w:val="nil"/>
              <w:tr2bl w:val="nil"/>
            </w:tcBorders>
            <w:vAlign w:val="center"/>
          </w:tcPr>
          <w:p w14:paraId="122F76CD">
            <w:pPr>
              <w:spacing w:line="240" w:lineRule="exact"/>
              <w:rPr>
                <w:rFonts w:ascii="仿宋" w:hAnsi="仿宋" w:eastAsia="仿宋"/>
                <w:b/>
                <w:color w:val="000000"/>
                <w:sz w:val="21"/>
                <w:szCs w:val="21"/>
              </w:rPr>
            </w:pPr>
            <w:r>
              <w:rPr>
                <w:rFonts w:hint="eastAsia" w:ascii="仿宋" w:hAnsi="仿宋" w:eastAsia="仿宋"/>
                <w:b/>
                <w:color w:val="000000"/>
                <w:sz w:val="21"/>
                <w:szCs w:val="21"/>
              </w:rPr>
              <w:t>10万+</w:t>
            </w:r>
          </w:p>
        </w:tc>
      </w:tr>
      <w:tr w14:paraId="1D774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2" w:hRule="exact"/>
        </w:trPr>
        <w:tc>
          <w:tcPr>
            <w:tcW w:w="992" w:type="dxa"/>
            <w:tcBorders>
              <w:tl2br w:val="nil"/>
              <w:tr2bl w:val="nil"/>
            </w:tcBorders>
            <w:vAlign w:val="center"/>
          </w:tcPr>
          <w:p w14:paraId="711F7B6E">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31284506">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46B0CB20">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6F6A28AD">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0D2778B6">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5CBC8A97">
            <w:pPr>
              <w:spacing w:line="240" w:lineRule="exact"/>
              <w:jc w:val="center"/>
              <w:rPr>
                <w:rFonts w:ascii="华文中宋" w:hAnsi="华文中宋" w:eastAsia="华文中宋"/>
                <w:color w:val="000000"/>
                <w:sz w:val="28"/>
              </w:rPr>
            </w:pPr>
            <w:r>
              <w:rPr>
                <w:rFonts w:hint="eastAsia" w:ascii="华文中宋" w:hAnsi="华文中宋" w:eastAsia="华文中宋"/>
                <w:sz w:val="28"/>
              </w:rPr>
              <w:t xml:space="preserve">  ︶</w:t>
            </w:r>
          </w:p>
        </w:tc>
        <w:tc>
          <w:tcPr>
            <w:tcW w:w="8821" w:type="dxa"/>
            <w:gridSpan w:val="9"/>
            <w:tcBorders>
              <w:tl2br w:val="nil"/>
              <w:tr2bl w:val="nil"/>
            </w:tcBorders>
            <w:vAlign w:val="center"/>
          </w:tcPr>
          <w:p w14:paraId="574F7E70">
            <w:pPr>
              <w:rPr>
                <w:rFonts w:ascii="仿宋" w:hAnsi="仿宋" w:eastAsia="仿宋" w:cs="仿宋"/>
                <w:color w:val="000000"/>
                <w:sz w:val="21"/>
                <w:szCs w:val="21"/>
              </w:rPr>
            </w:pPr>
          </w:p>
          <w:p w14:paraId="27260C5F">
            <w:pPr>
              <w:ind w:firstLine="472" w:firstLineChars="196"/>
              <w:rPr>
                <w:rFonts w:ascii="华文中宋" w:hAnsi="华文中宋" w:eastAsia="华文中宋"/>
                <w:color w:val="000000"/>
                <w:spacing w:val="-2"/>
                <w:sz w:val="28"/>
              </w:rPr>
            </w:pPr>
            <w:r>
              <w:rPr>
                <w:rFonts w:hint="eastAsia" w:ascii="仿宋" w:hAnsi="仿宋" w:eastAsia="仿宋" w:cs="仿宋"/>
                <w:b/>
                <w:bCs/>
                <w:sz w:val="24"/>
              </w:rPr>
              <w:t>《耍伎俩规避劳动关系,终将得不偿失》一文在构建和谐劳动关系的大背景下推出恰逢其时。该文不仅是对不法用工行为的有力抨击，更是对劳动法治精神的坚定弘扬，有助于形成引导广大用人单位依法维护劳动者合法权益的良好舆论氛围。</w:t>
            </w:r>
          </w:p>
          <w:p w14:paraId="12AD9389">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F0FFDAA">
            <w:pPr>
              <w:ind w:firstLine="4200" w:firstLineChars="1500"/>
              <w:rPr>
                <w:rFonts w:ascii="仿宋" w:hAnsi="仿宋" w:eastAsia="仿宋"/>
                <w:color w:val="000000"/>
                <w:szCs w:val="21"/>
              </w:rPr>
            </w:pPr>
            <w:r>
              <w:rPr>
                <w:rFonts w:ascii="华文中宋" w:hAnsi="华文中宋" w:eastAsia="华文中宋"/>
                <w:color w:val="000000"/>
                <w:sz w:val="28"/>
              </w:rPr>
              <w:t xml:space="preserve">年  </w:t>
            </w:r>
            <w:r>
              <w:rPr>
                <w:rFonts w:hint="eastAsia" w:ascii="华文中宋" w:hAnsi="华文中宋" w:eastAsia="华文中宋"/>
                <w:color w:val="000000"/>
                <w:sz w:val="28"/>
              </w:rPr>
              <w:t>月  日</w:t>
            </w:r>
          </w:p>
        </w:tc>
      </w:tr>
    </w:tbl>
    <w:p w14:paraId="1796E08F">
      <w:pPr>
        <w:rPr>
          <w:rFonts w:hint="eastAsia" w:ascii="楷体" w:hAnsi="楷体" w:eastAsia="楷体"/>
          <w:color w:val="000000"/>
          <w:sz w:val="28"/>
          <w:szCs w:val="28"/>
        </w:rPr>
      </w:pPr>
    </w:p>
    <w:p w14:paraId="0E6E5345">
      <w:pPr>
        <w:rPr>
          <w:rFonts w:hint="eastAsia" w:ascii="楷体" w:hAnsi="楷体" w:eastAsia="楷体"/>
          <w:color w:val="000000"/>
          <w:sz w:val="28"/>
          <w:szCs w:val="28"/>
        </w:rPr>
      </w:pPr>
    </w:p>
    <w:p w14:paraId="23B5649F">
      <w:pPr>
        <w:rPr>
          <w:rFonts w:hint="eastAsia" w:ascii="楷体" w:hAnsi="楷体" w:eastAsia="楷体"/>
          <w:color w:val="000000"/>
          <w:sz w:val="28"/>
          <w:szCs w:val="28"/>
        </w:rPr>
      </w:pPr>
    </w:p>
    <w:p w14:paraId="38BC2E05">
      <w:pPr>
        <w:rPr>
          <w:rFonts w:hint="eastAsia" w:ascii="楷体" w:hAnsi="楷体" w:eastAsia="楷体"/>
          <w:color w:val="000000"/>
          <w:sz w:val="28"/>
          <w:szCs w:val="28"/>
        </w:rPr>
      </w:pPr>
    </w:p>
    <w:p w14:paraId="7F3360E0">
      <w:pPr>
        <w:rPr>
          <w:rFonts w:hint="eastAsia" w:ascii="楷体" w:hAnsi="楷体" w:eastAsia="楷体"/>
          <w:color w:val="000000"/>
          <w:sz w:val="28"/>
          <w:szCs w:val="28"/>
        </w:rPr>
      </w:pPr>
    </w:p>
    <w:p w14:paraId="4C676B6D">
      <w:pPr>
        <w:rPr>
          <w:rFonts w:hint="eastAsia" w:ascii="楷体" w:hAnsi="楷体" w:eastAsia="楷体"/>
          <w:color w:val="000000"/>
          <w:sz w:val="28"/>
          <w:szCs w:val="28"/>
        </w:rPr>
      </w:pPr>
    </w:p>
    <w:p w14:paraId="6FB63521">
      <w:pPr>
        <w:rPr>
          <w:rFonts w:hint="eastAsia" w:ascii="楷体" w:hAnsi="楷体" w:eastAsia="楷体"/>
          <w:color w:val="000000"/>
          <w:sz w:val="28"/>
          <w:szCs w:val="28"/>
        </w:rPr>
      </w:pPr>
    </w:p>
    <w:p w14:paraId="415163DE">
      <w:pPr>
        <w:rPr>
          <w:rFonts w:hint="eastAsia" w:ascii="楷体" w:hAnsi="楷体" w:eastAsia="楷体"/>
          <w:color w:val="000000"/>
          <w:sz w:val="28"/>
          <w:szCs w:val="28"/>
        </w:rPr>
      </w:pPr>
    </w:p>
    <w:p w14:paraId="28E34C66">
      <w:pPr>
        <w:rPr>
          <w:rFonts w:hint="eastAsia" w:ascii="楷体" w:hAnsi="楷体" w:eastAsia="楷体"/>
          <w:color w:val="000000"/>
          <w:sz w:val="28"/>
          <w:szCs w:val="28"/>
        </w:rPr>
      </w:pPr>
    </w:p>
    <w:p w14:paraId="173AA823">
      <w:pPr>
        <w:rPr>
          <w:rFonts w:hint="eastAsia" w:ascii="楷体" w:hAnsi="楷体" w:eastAsia="楷体"/>
          <w:color w:val="000000"/>
          <w:sz w:val="28"/>
          <w:szCs w:val="28"/>
        </w:rPr>
      </w:pPr>
    </w:p>
    <w:p w14:paraId="74E9A4AA">
      <w:pPr>
        <w:rPr>
          <w:rFonts w:hint="eastAsia" w:ascii="楷体" w:hAnsi="楷体" w:eastAsia="楷体"/>
          <w:color w:val="000000"/>
          <w:sz w:val="28"/>
          <w:szCs w:val="28"/>
        </w:rPr>
      </w:pPr>
    </w:p>
    <w:p w14:paraId="63CCF5CD">
      <w:pPr>
        <w:rPr>
          <w:rFonts w:hint="eastAsia" w:ascii="楷体" w:hAnsi="楷体" w:eastAsia="楷体"/>
          <w:color w:val="000000"/>
          <w:sz w:val="28"/>
          <w:szCs w:val="28"/>
        </w:rPr>
      </w:pPr>
    </w:p>
    <w:p w14:paraId="3B9CA3C2">
      <w:pPr>
        <w:rPr>
          <w:rFonts w:hint="eastAsia" w:ascii="楷体" w:hAnsi="楷体" w:eastAsia="楷体"/>
          <w:color w:val="000000"/>
          <w:sz w:val="28"/>
          <w:szCs w:val="28"/>
        </w:rPr>
      </w:pPr>
    </w:p>
    <w:p w14:paraId="7CB2E6AF">
      <w:pPr>
        <w:rPr>
          <w:rFonts w:hint="eastAsia" w:ascii="楷体" w:hAnsi="楷体" w:eastAsia="楷体"/>
          <w:color w:val="000000"/>
          <w:sz w:val="28"/>
          <w:szCs w:val="28"/>
        </w:rPr>
      </w:pPr>
    </w:p>
    <w:p w14:paraId="3856AB46">
      <w:pPr>
        <w:rPr>
          <w:rFonts w:hint="eastAsia" w:ascii="楷体" w:hAnsi="楷体" w:eastAsia="楷体"/>
          <w:color w:val="000000"/>
          <w:sz w:val="28"/>
          <w:szCs w:val="28"/>
        </w:rPr>
      </w:pPr>
    </w:p>
    <w:p w14:paraId="1A6C0B00">
      <w:pPr>
        <w:rPr>
          <w:rFonts w:hint="eastAsia" w:ascii="楷体" w:hAnsi="楷体" w:eastAsia="楷体"/>
          <w:color w:val="000000"/>
          <w:sz w:val="28"/>
          <w:szCs w:val="28"/>
        </w:rPr>
      </w:pPr>
    </w:p>
    <w:p w14:paraId="6A8D2C20">
      <w:pPr>
        <w:rPr>
          <w:rFonts w:hint="eastAsia" w:ascii="楷体" w:hAnsi="楷体" w:eastAsia="楷体"/>
          <w:color w:val="000000"/>
          <w:sz w:val="28"/>
          <w:szCs w:val="28"/>
        </w:rPr>
      </w:pPr>
    </w:p>
    <w:p w14:paraId="44837B2A">
      <w:pPr>
        <w:rPr>
          <w:rFonts w:hint="eastAsia" w:ascii="楷体" w:hAnsi="楷体" w:eastAsia="楷体"/>
          <w:color w:val="000000"/>
          <w:sz w:val="28"/>
          <w:szCs w:val="28"/>
        </w:rPr>
      </w:pPr>
    </w:p>
    <w:p w14:paraId="1602DE06">
      <w:pPr>
        <w:rPr>
          <w:rFonts w:hint="eastAsia" w:ascii="华文中宋" w:hAnsi="华文中宋" w:eastAsia="华文中宋" w:cs="华文中宋"/>
          <w:color w:val="000000"/>
          <w:sz w:val="28"/>
          <w:szCs w:val="28"/>
          <w:lang w:eastAsia="zh-CN"/>
        </w:rPr>
      </w:pPr>
      <w:r>
        <w:rPr>
          <w:rFonts w:hint="eastAsia" w:ascii="华文中宋" w:hAnsi="华文中宋" w:eastAsia="华文中宋" w:cs="华文中宋"/>
          <w:color w:val="000000"/>
          <w:sz w:val="28"/>
          <w:szCs w:val="28"/>
          <w:lang w:eastAsia="zh-CN"/>
        </w:rPr>
        <w:t>文字稿</w:t>
      </w:r>
    </w:p>
    <w:p w14:paraId="527520F0">
      <w:pPr>
        <w:jc w:val="center"/>
        <w:rPr>
          <w:rFonts w:hint="eastAsia" w:ascii="华文中宋" w:hAnsi="华文中宋" w:eastAsia="华文中宋" w:cs="华文中宋"/>
          <w:color w:val="000000"/>
          <w:sz w:val="28"/>
          <w:szCs w:val="28"/>
          <w:lang w:eastAsia="zh-CN"/>
        </w:rPr>
      </w:pPr>
      <w:r>
        <w:rPr>
          <w:rFonts w:hint="eastAsia" w:ascii="华文中宋" w:hAnsi="华文中宋" w:eastAsia="华文中宋" w:cs="华文中宋"/>
          <w:color w:val="000000"/>
          <w:sz w:val="28"/>
          <w:szCs w:val="28"/>
          <w:lang w:eastAsia="zh-CN"/>
        </w:rPr>
        <w:t>【社评】耍伎俩规避劳动关系，终将得不偿失</w:t>
      </w:r>
    </w:p>
    <w:p w14:paraId="0F8D898B">
      <w:pPr>
        <w:jc w:val="center"/>
        <w:rPr>
          <w:rFonts w:hint="eastAsia" w:ascii="华文中宋" w:hAnsi="华文中宋" w:eastAsia="华文中宋" w:cs="华文中宋"/>
          <w:color w:val="000000"/>
          <w:sz w:val="28"/>
          <w:szCs w:val="28"/>
          <w:lang w:eastAsia="zh-CN"/>
        </w:rPr>
      </w:pPr>
      <w:r>
        <w:rPr>
          <w:rFonts w:hint="eastAsia" w:ascii="华文中宋" w:hAnsi="华文中宋" w:eastAsia="华文中宋" w:cs="华文中宋"/>
          <w:color w:val="000000"/>
          <w:sz w:val="28"/>
          <w:szCs w:val="28"/>
          <w:lang w:eastAsia="zh-CN"/>
        </w:rPr>
        <w:t>工人日报评论员 张伟杰</w:t>
      </w:r>
    </w:p>
    <w:p w14:paraId="70BA3909">
      <w:pPr>
        <w:jc w:val="center"/>
        <w:rPr>
          <w:rFonts w:hint="eastAsia" w:ascii="华文中宋" w:hAnsi="华文中宋" w:eastAsia="华文中宋" w:cs="华文中宋"/>
          <w:color w:val="000000"/>
          <w:sz w:val="28"/>
          <w:szCs w:val="28"/>
          <w:lang w:eastAsia="zh-CN"/>
        </w:rPr>
      </w:pPr>
      <w:r>
        <w:rPr>
          <w:rFonts w:hint="eastAsia" w:ascii="华文中宋" w:hAnsi="华文中宋" w:eastAsia="华文中宋" w:cs="华文中宋"/>
          <w:color w:val="000000"/>
          <w:sz w:val="28"/>
          <w:szCs w:val="28"/>
          <w:lang w:eastAsia="zh-CN"/>
        </w:rPr>
        <w:t>2025-09-10 11:09</w:t>
      </w:r>
    </w:p>
    <w:p w14:paraId="0187D376">
      <w:p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进一步加大监管的执法力度，更有效地惩罚违法行为、提高违法成本，从而让法律“依法用工”的规定落地见效，从源头上破除劳动关系的“障眼法”，切实推进和谐劳动关系的构建和发展。</w:t>
      </w:r>
    </w:p>
    <w:p w14:paraId="1470BC6C">
      <w:p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用“试用期合同”替代劳动合同，对员工进行超长试用；用“劳务合同”“实践协议”等替代劳动合同，达到去劳动关系目的；让员工雇员工为公司所用，或是法定代表人以个人名义雇人为公司工作；把工作地点、工作内容从未变化过的核心岗位员工悄悄变成其他公司的派遣工……近期，工人日报推出系列报道《破除“障眼法”，构建和谐劳动关系》，报道了某些用人单位为了逃避用工责任而采用的种种模糊劳动关系伎俩。</w:t>
      </w:r>
    </w:p>
    <w:p w14:paraId="17040655">
      <w:p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劳动关系的有无，直接影响着劳动者的劳动权益。一些用人单位之所以用各种手段掩盖、规避与劳动者之间的劳动关系，主要目的就是规避法律规定的用人单位义务、降低劳动用工成本，包括规避缴纳社会保险、支付加班工资等义务，规避解除劳动合同的限制和支付经济补偿金、赔偿金的义务，以及规避工伤赔偿责任等。通过该系列报道可以发现，这些手段从试用、入职、签合同、发工资、到在岗工作，会“出其不意”地让劳动者在付出劳动之后却找不到“东家”。</w:t>
      </w:r>
    </w:p>
    <w:p w14:paraId="3A623574">
      <w:p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用人单位的这些伎俩显然已经损害到劳动者权益。轻者如超长试用期的劳动者，不仅只能拿到超低的试用期工资，还总是等不来转正时刻；重者要么导致劳动者工伤待遇难落实，要么让劳动者遭遇退休难等。</w:t>
      </w:r>
    </w:p>
    <w:p w14:paraId="283C8611">
      <w:p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不少“甩锅”伎俩的隐蔽性极强，有时并非劳动者提高防范意识就能够发现或避免。更值得警惕的是，一些用人单位“明晃晃”地使用规避劳动关系伎俩，劳动者却难以或者不敢抗拒。典型例子即劳动者入职后，某些公司不主动与劳动者签劳动合同、不为其缴纳社保，但不少劳动者因各种原因不敢主动要求签合同、缴社保。还有一些用人单位甚至利用自身优势，要求员工签署“空白合同”“劳务派遣合同”等，员工要么同意签字，要么就只能走人。</w:t>
      </w:r>
    </w:p>
    <w:p w14:paraId="65D14AAD">
      <w:p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值得强调的是，司法裁判过程中，判断劳动者与用人单位之间是否存在劳动关系，不是只看双方有没有签合同或是所签合同的名称，也不是只看在不在试用期、工资由个人发放还是单位发放等表面现象，而是关键看三个因素：一是用人单位和劳动者符合法律、法规规定的主体资格；二是用人单位依法制定的各项规章制度适用于劳动者，劳动者受用人单位的劳动管理，从事用人单位安排的有报酬的劳动；三是劳动者提供的劳动是用人单位工作的组成部分。如果该员工与公司之间符合前述判断劳动关系的三个因素，即便劳动者处于试用期，或是双方签订的是“劳务合同”，又或者劳动者是被公司中的个人雇佣，也仍然与用人单位存在劳动关系。</w:t>
      </w:r>
    </w:p>
    <w:p w14:paraId="7F09D4E4">
      <w:p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诸多现实案例也表明， 对于用人单位来说，依法规范用工是规避法律风险的最好办法，使用规避劳动关系的伎俩常常得不偿失。司法实践中，劳动者一旦依法主张未签劳动合同两倍工资差额时，公司就得“多赔一份工资”；劳动者以用人单位未依法缴纳社会保险为由提出解除劳动关系时，用人单位还需支付解除劳动关系经济补偿金；一旦出了工伤事故，劳动者被认定工伤后，没有缴纳工伤保险的公司还要自己承担工伤待遇赔偿责任。</w:t>
      </w:r>
    </w:p>
    <w:p w14:paraId="26BDFA6C">
      <w:p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试图模糊或者规避劳动关系，必然会破坏和谐劳动关系的秩序。《中华人民共和国劳动合同法》明确规定，“用人单位自用工之日起即与劳动者建立劳动关系”“建立劳动关系，应当订立书面劳动合同”。各类用人单位应树立依法用工的观念，只要用工，就必须建立劳动关系。劳动者在找工作时也要擦亮眼睛，对于不签合同、不缴社保，找各种理由模糊劳动关系的用人单位，要勇敢说“不”、及时止损。同时，还应进一步加大监管的执法力度，更有效地惩罚违法行为、提高违法成本，从而让法律“依法用工”的规定落地见效，从源头上破除劳动关系的“障眼法”，切实推进和谐劳动关系的构建和发展。</w:t>
      </w:r>
    </w:p>
    <w:p w14:paraId="5B910677">
      <w:pPr>
        <w:ind w:firstLine="560" w:firstLineChars="200"/>
        <w:rPr>
          <w:rFonts w:hint="eastAsia" w:ascii="宋体" w:hAnsi="宋体" w:eastAsia="宋体" w:cs="宋体"/>
          <w:color w:val="000000"/>
          <w:sz w:val="28"/>
          <w:szCs w:val="28"/>
          <w:lang w:eastAsia="zh-CN"/>
        </w:rPr>
      </w:pPr>
    </w:p>
    <w:p w14:paraId="43A2F9DE">
      <w:pPr>
        <w:ind w:firstLine="560" w:firstLineChars="200"/>
        <w:rPr>
          <w:rFonts w:hint="eastAsia" w:ascii="宋体" w:hAnsi="宋体" w:eastAsia="宋体" w:cs="宋体"/>
          <w:color w:val="000000"/>
          <w:sz w:val="28"/>
          <w:szCs w:val="28"/>
          <w:lang w:eastAsia="zh-CN"/>
        </w:rPr>
      </w:pPr>
    </w:p>
    <w:p w14:paraId="2DF00CFD">
      <w:pPr>
        <w:ind w:firstLine="560" w:firstLineChars="200"/>
        <w:rPr>
          <w:rFonts w:hint="eastAsia" w:ascii="宋体" w:hAnsi="宋体" w:eastAsia="宋体" w:cs="宋体"/>
          <w:color w:val="000000"/>
          <w:sz w:val="28"/>
          <w:szCs w:val="28"/>
          <w:lang w:eastAsia="zh-CN"/>
        </w:rPr>
      </w:pPr>
    </w:p>
    <w:p w14:paraId="3B174D43">
      <w:pPr>
        <w:rPr>
          <w:rFonts w:hint="eastAsia" w:ascii="宋体" w:hAnsi="宋体" w:eastAsia="宋体" w:cs="宋体"/>
          <w:color w:val="000000"/>
          <w:sz w:val="28"/>
          <w:szCs w:val="28"/>
          <w:lang w:eastAsia="zh-CN"/>
        </w:rPr>
      </w:pPr>
    </w:p>
    <w:p w14:paraId="7F0439FC">
      <w:pPr>
        <w:rPr>
          <w:rFonts w:hint="eastAsia" w:ascii="宋体" w:hAnsi="宋体" w:eastAsia="宋体" w:cs="宋体"/>
          <w:color w:val="000000"/>
          <w:sz w:val="28"/>
          <w:szCs w:val="28"/>
          <w:lang w:eastAsia="zh-CN"/>
        </w:rPr>
      </w:pPr>
    </w:p>
    <w:p w14:paraId="5A2E86F4">
      <w:pPr>
        <w:rPr>
          <w:rFonts w:hint="eastAsia" w:ascii="宋体" w:hAnsi="宋体" w:eastAsia="宋体" w:cs="宋体"/>
          <w:color w:val="000000"/>
          <w:sz w:val="28"/>
          <w:szCs w:val="28"/>
          <w:lang w:eastAsia="zh-CN"/>
        </w:rPr>
      </w:pPr>
    </w:p>
    <w:p w14:paraId="0E2307C2">
      <w:pPr>
        <w:rPr>
          <w:rFonts w:hint="eastAsia" w:ascii="宋体" w:hAnsi="宋体" w:eastAsia="宋体" w:cs="宋体"/>
          <w:color w:val="000000"/>
          <w:sz w:val="28"/>
          <w:szCs w:val="28"/>
          <w:lang w:eastAsia="zh-CN"/>
        </w:rPr>
      </w:pPr>
    </w:p>
    <w:p w14:paraId="58D80E9A">
      <w:pPr>
        <w:rPr>
          <w:rFonts w:hint="eastAsia" w:ascii="宋体" w:hAnsi="宋体" w:eastAsia="宋体" w:cs="宋体"/>
          <w:color w:val="000000"/>
          <w:sz w:val="28"/>
          <w:szCs w:val="28"/>
          <w:lang w:eastAsia="zh-CN"/>
        </w:rPr>
      </w:pPr>
    </w:p>
    <w:p w14:paraId="0DAACEB1">
      <w:pPr>
        <w:rPr>
          <w:rFonts w:hint="eastAsia" w:ascii="华文中宋" w:hAnsi="华文中宋" w:eastAsia="华文中宋" w:cs="华文中宋"/>
          <w:color w:val="000000"/>
          <w:sz w:val="28"/>
          <w:szCs w:val="28"/>
          <w:lang w:eastAsia="zh-CN"/>
        </w:rPr>
      </w:pPr>
      <w:r>
        <w:rPr>
          <w:rFonts w:hint="eastAsia" w:ascii="华文中宋" w:hAnsi="华文中宋" w:eastAsia="华文中宋" w:cs="华文中宋"/>
          <w:color w:val="000000"/>
          <w:sz w:val="28"/>
          <w:szCs w:val="28"/>
          <w:lang w:eastAsia="zh-CN"/>
        </w:rPr>
        <w:t>首屏截图</w:t>
      </w:r>
    </w:p>
    <w:p w14:paraId="7D23D875">
      <w:pPr>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drawing>
          <wp:inline distT="0" distB="0" distL="114300" distR="114300">
            <wp:extent cx="4073525" cy="8294370"/>
            <wp:effectExtent l="0" t="0" r="3175" b="11430"/>
            <wp:docPr id="1" name="图片 1" descr="社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社评"/>
                    <pic:cNvPicPr>
                      <a:picLocks noChangeAspect="1"/>
                    </pic:cNvPicPr>
                  </pic:nvPicPr>
                  <pic:blipFill>
                    <a:blip r:embed="rId5"/>
                    <a:srcRect t="6285"/>
                    <a:stretch>
                      <a:fillRect/>
                    </a:stretch>
                  </pic:blipFill>
                  <pic:spPr>
                    <a:xfrm>
                      <a:off x="0" y="0"/>
                      <a:ext cx="4073525" cy="8294370"/>
                    </a:xfrm>
                    <a:prstGeom prst="rect">
                      <a:avLst/>
                    </a:prstGeom>
                  </pic:spPr>
                </pic:pic>
              </a:graphicData>
            </a:graphic>
          </wp:inline>
        </w:drawing>
      </w:r>
    </w:p>
    <w:p w14:paraId="530AD178">
      <w:pPr>
        <w:jc w:val="both"/>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lang w:val="en-US" w:eastAsia="zh-CN"/>
        </w:rPr>
        <w:t>二维码</w:t>
      </w:r>
    </w:p>
    <w:p w14:paraId="4F68E098">
      <w:pPr>
        <w:jc w:val="center"/>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lang w:val="en-US" w:eastAsia="zh-CN"/>
        </w:rPr>
        <w:drawing>
          <wp:inline distT="0" distB="0" distL="114300" distR="114300">
            <wp:extent cx="2475230" cy="2475230"/>
            <wp:effectExtent l="0" t="0" r="1270" b="1270"/>
            <wp:docPr id="2" name="图片 2" descr="社评(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社评(1)"/>
                    <pic:cNvPicPr>
                      <a:picLocks noChangeAspect="1"/>
                    </pic:cNvPicPr>
                  </pic:nvPicPr>
                  <pic:blipFill>
                    <a:blip r:embed="rId6"/>
                    <a:stretch>
                      <a:fillRect/>
                    </a:stretch>
                  </pic:blipFill>
                  <pic:spPr>
                    <a:xfrm>
                      <a:off x="0" y="0"/>
                      <a:ext cx="2475230" cy="2475230"/>
                    </a:xfrm>
                    <a:prstGeom prst="rect">
                      <a:avLst/>
                    </a:prstGeom>
                  </pic:spPr>
                </pic:pic>
              </a:graphicData>
            </a:graphic>
          </wp:inline>
        </w:drawing>
      </w:r>
    </w:p>
    <w:p w14:paraId="3990E6C9">
      <w:pPr>
        <w:rPr>
          <w:rFonts w:hint="eastAsia" w:ascii="楷体" w:hAnsi="楷体" w:eastAsia="楷体"/>
          <w:color w:val="000000"/>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9924B3-BEC0-4D99-9A60-971E373B23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2705E89E-E944-450C-96C8-CB89FBE46AAE}"/>
  </w:font>
  <w:font w:name="方正小标宋简体">
    <w:panose1 w:val="02000000000000000000"/>
    <w:charset w:val="86"/>
    <w:family w:val="script"/>
    <w:pitch w:val="default"/>
    <w:sig w:usb0="00000001" w:usb1="08000000" w:usb2="00000000" w:usb3="00000000" w:csb0="00040000" w:csb1="00000000"/>
    <w:embedRegular r:id="rId3" w:fontKey="{43BED0A2-4858-417D-B535-A6E7646861E8}"/>
  </w:font>
  <w:font w:name="华文中宋">
    <w:panose1 w:val="02010600040101010101"/>
    <w:charset w:val="86"/>
    <w:family w:val="auto"/>
    <w:pitch w:val="default"/>
    <w:sig w:usb0="00000287" w:usb1="080F0000" w:usb2="00000000" w:usb3="00000000" w:csb0="0004009F" w:csb1="DFD70000"/>
    <w:embedRegular r:id="rId4" w:fontKey="{D2D3C763-9022-4960-A95D-61D2E53027AD}"/>
  </w:font>
  <w:font w:name="仿宋">
    <w:panose1 w:val="02010609060101010101"/>
    <w:charset w:val="86"/>
    <w:family w:val="modern"/>
    <w:pitch w:val="default"/>
    <w:sig w:usb0="800002BF" w:usb1="38CF7CFA" w:usb2="00000016" w:usb3="00000000" w:csb0="00040001" w:csb1="00000000"/>
    <w:embedRegular r:id="rId5" w:fontKey="{710E443B-0965-466B-B364-F72F54A03090}"/>
  </w:font>
  <w:font w:name="楷体">
    <w:panose1 w:val="02010609060101010101"/>
    <w:charset w:val="86"/>
    <w:family w:val="modern"/>
    <w:pitch w:val="default"/>
    <w:sig w:usb0="800002BF" w:usb1="38CF7CFA" w:usb2="00000016" w:usb3="00000000" w:csb0="00040001" w:csb1="00000000"/>
    <w:embedRegular r:id="rId6" w:fontKey="{26D94C5A-8630-4CBE-B0F8-983A649944E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FE73">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209F"/>
    <w:rsid w:val="0032209F"/>
    <w:rsid w:val="00362135"/>
    <w:rsid w:val="004F34D0"/>
    <w:rsid w:val="006B1448"/>
    <w:rsid w:val="006E42FC"/>
    <w:rsid w:val="0071723E"/>
    <w:rsid w:val="00810A36"/>
    <w:rsid w:val="00813F03"/>
    <w:rsid w:val="008E5419"/>
    <w:rsid w:val="00934D5B"/>
    <w:rsid w:val="00950B23"/>
    <w:rsid w:val="009F3231"/>
    <w:rsid w:val="00A12026"/>
    <w:rsid w:val="00BB1E66"/>
    <w:rsid w:val="00F0220C"/>
    <w:rsid w:val="0E5035DF"/>
    <w:rsid w:val="103E4A53"/>
    <w:rsid w:val="291819B2"/>
    <w:rsid w:val="301E5C37"/>
    <w:rsid w:val="3325699E"/>
    <w:rsid w:val="33363900"/>
    <w:rsid w:val="35062744"/>
    <w:rsid w:val="4CA94913"/>
    <w:rsid w:val="5D250E1A"/>
    <w:rsid w:val="70CD2B43"/>
    <w:rsid w:val="73F26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7E1FAD" w:themeColor="followedHyperlink"/>
      <w:u w:val="single"/>
    </w:rPr>
  </w:style>
  <w:style w:type="character" w:styleId="8">
    <w:name w:val="Hyperlink"/>
    <w:basedOn w:val="6"/>
    <w:qFormat/>
    <w:uiPriority w:val="0"/>
    <w:rPr>
      <w:color w:val="0026E5" w:themeColor="hyperlink"/>
      <w:u w:val="single"/>
    </w:rPr>
  </w:style>
  <w:style w:type="character" w:customStyle="1" w:styleId="9">
    <w:name w:val="Unresolved Mention"/>
    <w:basedOn w:val="6"/>
    <w:semiHidden/>
    <w:unhideWhenUsed/>
    <w:qFormat/>
    <w:uiPriority w:val="99"/>
    <w:rPr>
      <w:color w:val="605E5C"/>
      <w:shd w:val="clear" w:color="auto" w:fill="E1DFDD"/>
    </w:rPr>
  </w:style>
  <w:style w:type="character" w:customStyle="1" w:styleId="10">
    <w:name w:val="页脚 Char"/>
    <w:basedOn w:val="6"/>
    <w:link w:val="3"/>
    <w:qFormat/>
    <w:uiPriority w:val="0"/>
    <w:rPr>
      <w:rFonts w:eastAsia="方正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2356</Words>
  <Characters>2531</Characters>
  <Lines>9</Lines>
  <Paragraphs>2</Paragraphs>
  <TotalTime>0</TotalTime>
  <ScaleCrop>false</ScaleCrop>
  <LinksUpToDate>false</LinksUpToDate>
  <CharactersWithSpaces>2569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2026-05-10T09:41:00Z</dcterms:created>
  <dc:creator>EDY</dc:creator>
  <cp:lastModifiedBy>马猴烧酒</cp:lastModifiedBy>
  <dcterms:modified xsi:type="dcterms:W3CDTF">2026-05-12T06:20:28Z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eyJoZGlkIjoiMjE5Mjk5NzcwMjkxMjE2ZTQxZTZlODE2YTNmNjFiYTQiLCJ1c2VySWQiOiI0NjI1MzQyMzMifQ==</vt:lpwstr>
  </property>
  <property fmtid="{D5CDD505-2E9C-101B-9397-08002B2CF9AE}" pid="4" name="ICV">
    <vt:lpwstr>D1E8F804244740EF9C47E280E765C5A0_12</vt:lpwstr>
  </property>
</Properties>
</file>