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1C93C4">
      <w:pPr>
        <w:tabs>
          <w:tab w:val="right" w:pos="8730"/>
        </w:tabs>
        <w:spacing w:line="580" w:lineRule="exact"/>
        <w:outlineLvl w:val="0"/>
        <w:rPr>
          <w:rFonts w:hint="eastAsia" w:ascii="黑体" w:hAnsi="黑体" w:eastAsia="黑体"/>
          <w:color w:val="000000"/>
          <w:szCs w:val="32"/>
          <w:lang w:val="en-US" w:eastAsia="zh-CN"/>
        </w:rPr>
      </w:pPr>
      <w:r>
        <w:rPr>
          <w:rFonts w:hint="eastAsia" w:ascii="黑体" w:hAnsi="黑体" w:eastAsia="黑体"/>
          <w:color w:val="000000"/>
          <w:szCs w:val="32"/>
        </w:rPr>
        <w:t>附件4</w:t>
      </w:r>
    </w:p>
    <w:p w14:paraId="6D5D79E7">
      <w:pPr>
        <w:spacing w:after="156" w:afterLines="50"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中国新闻奖参评作品推荐表</w:t>
      </w:r>
    </w:p>
    <w:tbl>
      <w:tblPr>
        <w:tblStyle w:val="4"/>
        <w:tblW w:w="9813" w:type="dxa"/>
        <w:tblInd w:w="-1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512"/>
        <w:gridCol w:w="888"/>
        <w:gridCol w:w="1323"/>
        <w:gridCol w:w="1005"/>
        <w:gridCol w:w="872"/>
        <w:gridCol w:w="947"/>
        <w:gridCol w:w="620"/>
        <w:gridCol w:w="1122"/>
        <w:gridCol w:w="1532"/>
      </w:tblGrid>
      <w:tr w14:paraId="01047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3" w:hRule="exact"/>
        </w:trPr>
        <w:tc>
          <w:tcPr>
            <w:tcW w:w="992" w:type="dxa"/>
            <w:tcBorders>
              <w:tl2br w:val="nil"/>
              <w:tr2bl w:val="nil"/>
            </w:tcBorders>
            <w:vAlign w:val="center"/>
          </w:tcPr>
          <w:p w14:paraId="3D56D549">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作品</w:t>
            </w:r>
          </w:p>
          <w:p w14:paraId="54EF6AB0">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标题</w:t>
            </w:r>
          </w:p>
        </w:tc>
        <w:tc>
          <w:tcPr>
            <w:tcW w:w="3728" w:type="dxa"/>
            <w:gridSpan w:val="4"/>
            <w:tcBorders>
              <w:tl2br w:val="nil"/>
              <w:tr2bl w:val="nil"/>
            </w:tcBorders>
            <w:vAlign w:val="center"/>
          </w:tcPr>
          <w:p w14:paraId="5609971C">
            <w:pPr>
              <w:spacing w:line="240" w:lineRule="exact"/>
              <w:ind w:firstLine="0" w:firstLineChars="0"/>
              <w:jc w:val="left"/>
              <w:rPr>
                <w:rFonts w:hint="eastAsia" w:ascii="仿宋" w:hAnsi="仿宋" w:eastAsia="仿宋" w:cs="仿宋"/>
                <w:color w:val="000000"/>
                <w:sz w:val="21"/>
                <w:szCs w:val="15"/>
              </w:rPr>
            </w:pPr>
            <w:r>
              <w:rPr>
                <w:rFonts w:hint="eastAsia" w:ascii="仿宋" w:hAnsi="仿宋" w:eastAsia="仿宋" w:cs="仿宋"/>
                <w:color w:val="000000"/>
                <w:sz w:val="21"/>
                <w:szCs w:val="15"/>
              </w:rPr>
              <w:t>平视、平实与谦抑性：新闻评论增强穿透力的姿态</w:t>
            </w:r>
          </w:p>
        </w:tc>
        <w:tc>
          <w:tcPr>
            <w:tcW w:w="1819" w:type="dxa"/>
            <w:gridSpan w:val="2"/>
            <w:tcBorders>
              <w:tl2br w:val="nil"/>
              <w:tr2bl w:val="nil"/>
            </w:tcBorders>
            <w:vAlign w:val="center"/>
          </w:tcPr>
          <w:p w14:paraId="4D0A6EB6">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参评</w:t>
            </w:r>
          </w:p>
          <w:p w14:paraId="7C625C79">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项目</w:t>
            </w:r>
          </w:p>
        </w:tc>
        <w:tc>
          <w:tcPr>
            <w:tcW w:w="3274" w:type="dxa"/>
            <w:gridSpan w:val="3"/>
            <w:tcBorders>
              <w:tl2br w:val="nil"/>
              <w:tr2bl w:val="nil"/>
            </w:tcBorders>
            <w:vAlign w:val="center"/>
          </w:tcPr>
          <w:p w14:paraId="648297C0">
            <w:pPr>
              <w:spacing w:line="240" w:lineRule="exact"/>
              <w:ind w:firstLine="0" w:firstLineChars="0"/>
              <w:rPr>
                <w:rFonts w:hint="default" w:ascii="仿宋" w:hAnsi="仿宋" w:eastAsia="仿宋" w:cs="仿宋"/>
                <w:bCs w:val="0"/>
                <w:color w:val="000000"/>
                <w:sz w:val="21"/>
                <w:szCs w:val="15"/>
                <w:lang w:val="en-US" w:eastAsia="zh-CN"/>
              </w:rPr>
            </w:pPr>
            <w:r>
              <w:rPr>
                <w:rFonts w:hint="eastAsia" w:ascii="仿宋" w:hAnsi="仿宋" w:eastAsia="仿宋" w:cs="仿宋"/>
                <w:bCs w:val="0"/>
                <w:color w:val="000000"/>
                <w:sz w:val="21"/>
                <w:szCs w:val="15"/>
                <w:lang w:val="en-US" w:eastAsia="zh-CN"/>
              </w:rPr>
              <w:t>新闻研究</w:t>
            </w:r>
          </w:p>
        </w:tc>
      </w:tr>
      <w:tr w14:paraId="09617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exact"/>
        </w:trPr>
        <w:tc>
          <w:tcPr>
            <w:tcW w:w="992" w:type="dxa"/>
            <w:vMerge w:val="restart"/>
            <w:tcBorders>
              <w:tl2br w:val="nil"/>
              <w:tr2bl w:val="nil"/>
            </w:tcBorders>
            <w:vAlign w:val="center"/>
          </w:tcPr>
          <w:p w14:paraId="420C0C53">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字数</w:t>
            </w:r>
          </w:p>
          <w:p w14:paraId="241941F1">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时长</w:t>
            </w:r>
          </w:p>
        </w:tc>
        <w:tc>
          <w:tcPr>
            <w:tcW w:w="3728" w:type="dxa"/>
            <w:gridSpan w:val="4"/>
            <w:vMerge w:val="restart"/>
            <w:tcBorders>
              <w:tl2br w:val="nil"/>
              <w:tr2bl w:val="nil"/>
            </w:tcBorders>
            <w:vAlign w:val="center"/>
          </w:tcPr>
          <w:p w14:paraId="78038E3E">
            <w:pPr>
              <w:spacing w:line="240" w:lineRule="exact"/>
              <w:ind w:firstLine="0" w:firstLineChars="0"/>
              <w:rPr>
                <w:rFonts w:hint="default" w:ascii="仿宋" w:hAnsi="仿宋" w:eastAsia="仿宋" w:cs="仿宋"/>
                <w:color w:val="000000"/>
                <w:sz w:val="21"/>
                <w:szCs w:val="15"/>
                <w:lang w:val="en-US" w:eastAsia="zh-CN"/>
              </w:rPr>
            </w:pPr>
            <w:r>
              <w:rPr>
                <w:rFonts w:hint="eastAsia" w:ascii="仿宋" w:hAnsi="仿宋" w:eastAsia="仿宋" w:cs="仿宋"/>
                <w:bCs w:val="0"/>
                <w:color w:val="000000"/>
                <w:sz w:val="21"/>
                <w:szCs w:val="15"/>
                <w:lang w:val="en-US" w:eastAsia="zh-CN"/>
              </w:rPr>
              <w:t>5974字</w:t>
            </w:r>
          </w:p>
        </w:tc>
        <w:tc>
          <w:tcPr>
            <w:tcW w:w="1819" w:type="dxa"/>
            <w:gridSpan w:val="2"/>
            <w:tcBorders>
              <w:tl2br w:val="nil"/>
              <w:tr2bl w:val="nil"/>
            </w:tcBorders>
            <w:vAlign w:val="center"/>
          </w:tcPr>
          <w:p w14:paraId="3B74E81B">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体裁</w:t>
            </w:r>
          </w:p>
        </w:tc>
        <w:tc>
          <w:tcPr>
            <w:tcW w:w="3274" w:type="dxa"/>
            <w:gridSpan w:val="3"/>
            <w:tcBorders>
              <w:tl2br w:val="nil"/>
              <w:tr2bl w:val="nil"/>
            </w:tcBorders>
            <w:vAlign w:val="center"/>
          </w:tcPr>
          <w:p w14:paraId="0EF9348B">
            <w:pPr>
              <w:spacing w:line="240" w:lineRule="exact"/>
              <w:ind w:firstLine="0" w:firstLineChars="0"/>
              <w:rPr>
                <w:rFonts w:hint="eastAsia" w:ascii="仿宋" w:hAnsi="仿宋" w:eastAsia="仿宋" w:cs="仿宋"/>
                <w:color w:val="000000"/>
                <w:sz w:val="21"/>
                <w:szCs w:val="15"/>
                <w:lang w:val="en-US" w:eastAsia="zh-CN"/>
              </w:rPr>
            </w:pPr>
            <w:r>
              <w:rPr>
                <w:rFonts w:hint="eastAsia" w:ascii="仿宋" w:hAnsi="仿宋" w:eastAsia="仿宋" w:cs="仿宋"/>
                <w:color w:val="000000"/>
                <w:sz w:val="21"/>
                <w:szCs w:val="15"/>
                <w:lang w:val="en-US" w:eastAsia="zh-CN"/>
              </w:rPr>
              <w:t>论文</w:t>
            </w:r>
          </w:p>
        </w:tc>
      </w:tr>
      <w:tr w14:paraId="7CAAA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1" w:hRule="atLeast"/>
        </w:trPr>
        <w:tc>
          <w:tcPr>
            <w:tcW w:w="992" w:type="dxa"/>
            <w:vMerge w:val="continue"/>
            <w:tcBorders>
              <w:tl2br w:val="nil"/>
              <w:tr2bl w:val="nil"/>
            </w:tcBorders>
            <w:vAlign w:val="center"/>
          </w:tcPr>
          <w:p w14:paraId="595770B0">
            <w:pPr>
              <w:spacing w:line="320" w:lineRule="exact"/>
              <w:jc w:val="center"/>
              <w:rPr>
                <w:rFonts w:hint="eastAsia" w:ascii="华文中宋" w:hAnsi="华文中宋" w:eastAsia="华文中宋"/>
                <w:color w:val="000000"/>
                <w:sz w:val="28"/>
              </w:rPr>
            </w:pPr>
          </w:p>
        </w:tc>
        <w:tc>
          <w:tcPr>
            <w:tcW w:w="3728" w:type="dxa"/>
            <w:gridSpan w:val="4"/>
            <w:vMerge w:val="continue"/>
            <w:tcBorders>
              <w:tl2br w:val="nil"/>
              <w:tr2bl w:val="nil"/>
            </w:tcBorders>
            <w:vAlign w:val="center"/>
          </w:tcPr>
          <w:p w14:paraId="0A8AF4DF">
            <w:pPr>
              <w:spacing w:line="380" w:lineRule="exact"/>
              <w:ind w:firstLine="560"/>
              <w:jc w:val="center"/>
              <w:rPr>
                <w:rFonts w:hint="eastAsia" w:ascii="华文中宋" w:hAnsi="华文中宋" w:eastAsia="华文中宋"/>
                <w:color w:val="000000"/>
                <w:sz w:val="21"/>
                <w:szCs w:val="21"/>
              </w:rPr>
            </w:pPr>
          </w:p>
        </w:tc>
        <w:tc>
          <w:tcPr>
            <w:tcW w:w="1819" w:type="dxa"/>
            <w:gridSpan w:val="2"/>
            <w:tcBorders>
              <w:tl2br w:val="nil"/>
              <w:tr2bl w:val="nil"/>
            </w:tcBorders>
            <w:vAlign w:val="center"/>
          </w:tcPr>
          <w:p w14:paraId="0FE0B5D4">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语种</w:t>
            </w:r>
          </w:p>
        </w:tc>
        <w:tc>
          <w:tcPr>
            <w:tcW w:w="3274" w:type="dxa"/>
            <w:gridSpan w:val="3"/>
            <w:tcBorders>
              <w:tl2br w:val="nil"/>
              <w:tr2bl w:val="nil"/>
            </w:tcBorders>
            <w:vAlign w:val="center"/>
          </w:tcPr>
          <w:p w14:paraId="3AAC3CF0">
            <w:pPr>
              <w:spacing w:line="240" w:lineRule="exact"/>
              <w:ind w:firstLine="0" w:firstLineChars="0"/>
              <w:rPr>
                <w:rFonts w:hint="default" w:ascii="仿宋" w:hAnsi="仿宋" w:eastAsia="仿宋" w:cs="仿宋"/>
                <w:color w:val="000000"/>
                <w:sz w:val="21"/>
                <w:szCs w:val="15"/>
                <w:lang w:val="en-US" w:eastAsia="zh-CN"/>
              </w:rPr>
            </w:pPr>
            <w:r>
              <w:rPr>
                <w:rFonts w:hint="eastAsia" w:ascii="仿宋" w:hAnsi="仿宋" w:eastAsia="仿宋" w:cs="仿宋"/>
                <w:color w:val="000000"/>
                <w:sz w:val="21"/>
                <w:szCs w:val="15"/>
                <w:lang w:val="en-US" w:eastAsia="zh-CN"/>
              </w:rPr>
              <w:t>中文</w:t>
            </w:r>
          </w:p>
        </w:tc>
      </w:tr>
      <w:tr w14:paraId="5438D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trPr>
        <w:tc>
          <w:tcPr>
            <w:tcW w:w="992" w:type="dxa"/>
            <w:tcBorders>
              <w:tl2br w:val="nil"/>
              <w:tr2bl w:val="nil"/>
            </w:tcBorders>
            <w:vAlign w:val="center"/>
          </w:tcPr>
          <w:p w14:paraId="39E259F9">
            <w:pPr>
              <w:spacing w:line="320" w:lineRule="exact"/>
              <w:jc w:val="center"/>
              <w:rPr>
                <w:rFonts w:hint="eastAsia" w:ascii="华文中宋" w:hAnsi="华文中宋" w:eastAsia="华文中宋"/>
                <w:color w:val="000000"/>
                <w:spacing w:val="-12"/>
                <w:sz w:val="28"/>
              </w:rPr>
            </w:pPr>
            <w:r>
              <w:rPr>
                <w:rFonts w:hint="eastAsia" w:ascii="华文中宋" w:hAnsi="华文中宋" w:eastAsia="华文中宋"/>
                <w:color w:val="000000"/>
                <w:spacing w:val="-12"/>
                <w:sz w:val="28"/>
              </w:rPr>
              <w:t>作者</w:t>
            </w:r>
          </w:p>
          <w:p w14:paraId="56221385">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pacing w:val="-12"/>
                <w:sz w:val="16"/>
                <w:szCs w:val="16"/>
              </w:rPr>
              <w:t>（主创人员）</w:t>
            </w:r>
          </w:p>
        </w:tc>
        <w:tc>
          <w:tcPr>
            <w:tcW w:w="3728" w:type="dxa"/>
            <w:gridSpan w:val="4"/>
            <w:tcBorders>
              <w:tl2br w:val="nil"/>
              <w:tr2bl w:val="nil"/>
            </w:tcBorders>
            <w:vAlign w:val="center"/>
          </w:tcPr>
          <w:p w14:paraId="7453BB5E">
            <w:pPr>
              <w:spacing w:line="240" w:lineRule="exact"/>
              <w:ind w:firstLine="0" w:firstLineChars="0"/>
              <w:rPr>
                <w:rFonts w:hint="default" w:ascii="华文中宋" w:hAnsi="华文中宋" w:eastAsia="华文中宋"/>
                <w:color w:val="000000"/>
                <w:sz w:val="21"/>
                <w:szCs w:val="21"/>
                <w:lang w:val="en-US" w:eastAsia="zh-CN"/>
              </w:rPr>
            </w:pPr>
            <w:r>
              <w:rPr>
                <w:rFonts w:hint="eastAsia" w:ascii="华文中宋" w:hAnsi="华文中宋" w:eastAsia="华文中宋"/>
                <w:color w:val="000000"/>
                <w:sz w:val="21"/>
                <w:szCs w:val="21"/>
                <w:lang w:val="en-US" w:eastAsia="zh-CN"/>
              </w:rPr>
              <w:t>吴迪</w:t>
            </w:r>
          </w:p>
        </w:tc>
        <w:tc>
          <w:tcPr>
            <w:tcW w:w="1819" w:type="dxa"/>
            <w:gridSpan w:val="2"/>
            <w:tcBorders>
              <w:tl2br w:val="nil"/>
              <w:tr2bl w:val="nil"/>
            </w:tcBorders>
            <w:vAlign w:val="center"/>
          </w:tcPr>
          <w:p w14:paraId="4B47EE1F">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编辑</w:t>
            </w:r>
          </w:p>
        </w:tc>
        <w:tc>
          <w:tcPr>
            <w:tcW w:w="3274" w:type="dxa"/>
            <w:gridSpan w:val="3"/>
            <w:tcBorders>
              <w:tl2br w:val="nil"/>
              <w:tr2bl w:val="nil"/>
            </w:tcBorders>
            <w:vAlign w:val="center"/>
          </w:tcPr>
          <w:p w14:paraId="21870789">
            <w:pPr>
              <w:spacing w:line="240" w:lineRule="exact"/>
              <w:ind w:firstLine="0" w:firstLineChars="0"/>
              <w:rPr>
                <w:rFonts w:hint="eastAsia" w:ascii="仿宋" w:hAnsi="仿宋" w:eastAsia="仿宋" w:cs="仿宋"/>
                <w:color w:val="000000"/>
                <w:sz w:val="21"/>
                <w:szCs w:val="15"/>
                <w:lang w:eastAsia="zh-CN"/>
              </w:rPr>
            </w:pPr>
            <w:r>
              <w:rPr>
                <w:rFonts w:hint="eastAsia" w:ascii="仿宋" w:hAnsi="仿宋" w:eastAsia="仿宋" w:cs="仿宋"/>
                <w:bCs w:val="0"/>
                <w:color w:val="000000"/>
                <w:sz w:val="21"/>
                <w:szCs w:val="15"/>
                <w:lang w:val="en-US" w:eastAsia="zh-CN"/>
              </w:rPr>
              <w:t>梁益畅</w:t>
            </w:r>
          </w:p>
        </w:tc>
      </w:tr>
      <w:tr w14:paraId="371D0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trPr>
        <w:tc>
          <w:tcPr>
            <w:tcW w:w="992" w:type="dxa"/>
            <w:tcBorders>
              <w:tl2br w:val="nil"/>
              <w:tr2bl w:val="nil"/>
            </w:tcBorders>
            <w:vAlign w:val="center"/>
          </w:tcPr>
          <w:p w14:paraId="1D26F75B">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原创</w:t>
            </w:r>
          </w:p>
          <w:p w14:paraId="0880A548">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单位</w:t>
            </w:r>
          </w:p>
        </w:tc>
        <w:tc>
          <w:tcPr>
            <w:tcW w:w="3728" w:type="dxa"/>
            <w:gridSpan w:val="4"/>
            <w:tcBorders>
              <w:tl2br w:val="nil"/>
              <w:tr2bl w:val="nil"/>
            </w:tcBorders>
            <w:vAlign w:val="center"/>
          </w:tcPr>
          <w:p w14:paraId="4A51632B">
            <w:pPr>
              <w:spacing w:line="260" w:lineRule="exact"/>
              <w:ind w:firstLine="0"/>
              <w:rPr>
                <w:rFonts w:hint="default" w:ascii="方正仿宋_GB2312" w:hAnsi="仿宋" w:eastAsia="方正仿宋_GB2312"/>
                <w:color w:val="000000"/>
                <w:szCs w:val="21"/>
                <w:lang w:val="en-US" w:eastAsia="zh-CN"/>
              </w:rPr>
            </w:pPr>
            <w:r>
              <w:rPr>
                <w:rFonts w:hint="eastAsia" w:ascii="仿宋" w:hAnsi="仿宋" w:eastAsia="仿宋" w:cs="仿宋"/>
                <w:bCs w:val="0"/>
                <w:color w:val="000000"/>
                <w:spacing w:val="-6"/>
                <w:sz w:val="21"/>
                <w:szCs w:val="15"/>
                <w:lang w:val="en-US" w:eastAsia="zh-CN"/>
              </w:rPr>
              <w:t>新华社《中国记者》杂志社</w:t>
            </w:r>
          </w:p>
        </w:tc>
        <w:tc>
          <w:tcPr>
            <w:tcW w:w="1819" w:type="dxa"/>
            <w:gridSpan w:val="2"/>
            <w:tcBorders>
              <w:tl2br w:val="nil"/>
              <w:tr2bl w:val="nil"/>
            </w:tcBorders>
            <w:vAlign w:val="center"/>
          </w:tcPr>
          <w:p w14:paraId="1916C51B">
            <w:pPr>
              <w:spacing w:line="260" w:lineRule="exact"/>
              <w:rPr>
                <w:rFonts w:hint="eastAsia" w:ascii="华文中宋" w:hAnsi="华文中宋" w:eastAsia="华文中宋"/>
                <w:color w:val="000000"/>
                <w:sz w:val="24"/>
                <w:szCs w:val="36"/>
              </w:rPr>
            </w:pPr>
            <w:r>
              <w:rPr>
                <w:rFonts w:hint="eastAsia" w:ascii="华文中宋" w:hAnsi="华文中宋" w:eastAsia="华文中宋"/>
                <w:color w:val="000000"/>
                <w:sz w:val="24"/>
                <w:szCs w:val="36"/>
              </w:rPr>
              <w:t>发布端/账号/</w:t>
            </w:r>
          </w:p>
          <w:p w14:paraId="7B62230C">
            <w:pPr>
              <w:spacing w:line="260" w:lineRule="exact"/>
              <w:rPr>
                <w:rFonts w:ascii="方正仿宋_GB2312" w:hAnsi="仿宋"/>
                <w:color w:val="000000"/>
                <w:sz w:val="28"/>
                <w:szCs w:val="40"/>
                <w:highlight w:val="green"/>
              </w:rPr>
            </w:pPr>
            <w:r>
              <w:rPr>
                <w:rFonts w:hint="eastAsia" w:ascii="华文中宋" w:hAnsi="华文中宋" w:eastAsia="华文中宋"/>
                <w:color w:val="000000"/>
                <w:sz w:val="24"/>
                <w:szCs w:val="36"/>
              </w:rPr>
              <w:t>媒体名称</w:t>
            </w:r>
          </w:p>
        </w:tc>
        <w:tc>
          <w:tcPr>
            <w:tcW w:w="3274" w:type="dxa"/>
            <w:gridSpan w:val="3"/>
            <w:tcBorders>
              <w:tl2br w:val="nil"/>
              <w:tr2bl w:val="nil"/>
            </w:tcBorders>
            <w:vAlign w:val="center"/>
          </w:tcPr>
          <w:p w14:paraId="1B3ABACD">
            <w:pPr>
              <w:spacing w:line="240" w:lineRule="exact"/>
              <w:ind w:firstLine="0" w:firstLineChars="0"/>
              <w:rPr>
                <w:rFonts w:hint="default" w:ascii="仿宋" w:hAnsi="仿宋" w:eastAsia="仿宋" w:cs="仿宋"/>
                <w:color w:val="000000"/>
                <w:sz w:val="21"/>
                <w:szCs w:val="15"/>
                <w:highlight w:val="none"/>
                <w:lang w:val="en-US"/>
              </w:rPr>
            </w:pPr>
            <w:r>
              <w:rPr>
                <w:rFonts w:hint="eastAsia" w:ascii="仿宋" w:hAnsi="仿宋" w:eastAsia="仿宋" w:cs="仿宋"/>
                <w:bCs w:val="0"/>
                <w:color w:val="000000"/>
                <w:spacing w:val="-6"/>
                <w:sz w:val="21"/>
                <w:szCs w:val="15"/>
                <w:lang w:val="en-US" w:eastAsia="zh-CN"/>
              </w:rPr>
              <w:t>《中国记者》杂志</w:t>
            </w:r>
          </w:p>
        </w:tc>
      </w:tr>
      <w:tr w14:paraId="53AD1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5" w:hRule="exact"/>
        </w:trPr>
        <w:tc>
          <w:tcPr>
            <w:tcW w:w="1504" w:type="dxa"/>
            <w:gridSpan w:val="2"/>
            <w:tcBorders>
              <w:tl2br w:val="nil"/>
              <w:tr2bl w:val="nil"/>
            </w:tcBorders>
            <w:vAlign w:val="center"/>
          </w:tcPr>
          <w:p w14:paraId="04B8C047">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刊播版面</w:t>
            </w:r>
          </w:p>
          <w:p w14:paraId="6F72177F">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pacing w:val="-23"/>
                <w:sz w:val="24"/>
                <w:szCs w:val="21"/>
                <w:lang w:eastAsia="zh-CN"/>
              </w:rPr>
              <w:t>（</w:t>
            </w:r>
            <w:r>
              <w:rPr>
                <w:rFonts w:hint="eastAsia" w:ascii="华文中宋" w:hAnsi="华文中宋" w:eastAsia="华文中宋"/>
                <w:color w:val="000000"/>
                <w:spacing w:val="-23"/>
                <w:sz w:val="22"/>
                <w:szCs w:val="21"/>
              </w:rPr>
              <w:t>名称和版次</w:t>
            </w:r>
            <w:r>
              <w:rPr>
                <w:rFonts w:hint="eastAsia" w:ascii="华文中宋" w:hAnsi="华文中宋" w:eastAsia="华文中宋"/>
                <w:color w:val="000000"/>
                <w:spacing w:val="-23"/>
                <w:sz w:val="22"/>
                <w:szCs w:val="21"/>
                <w:lang w:eastAsia="zh-CN"/>
              </w:rPr>
              <w:t>）</w:t>
            </w:r>
          </w:p>
        </w:tc>
        <w:tc>
          <w:tcPr>
            <w:tcW w:w="3216" w:type="dxa"/>
            <w:gridSpan w:val="3"/>
            <w:tcBorders>
              <w:tl2br w:val="nil"/>
              <w:tr2bl w:val="nil"/>
            </w:tcBorders>
            <w:vAlign w:val="center"/>
          </w:tcPr>
          <w:p w14:paraId="06FC5C4D">
            <w:pPr>
              <w:spacing w:line="260" w:lineRule="exact"/>
              <w:rPr>
                <w:rFonts w:ascii="方正仿宋_GB2312" w:hAnsi="仿宋"/>
                <w:color w:val="000000"/>
                <w:szCs w:val="21"/>
              </w:rPr>
            </w:pPr>
          </w:p>
        </w:tc>
        <w:tc>
          <w:tcPr>
            <w:tcW w:w="872" w:type="dxa"/>
            <w:tcBorders>
              <w:tl2br w:val="nil"/>
              <w:tr2bl w:val="nil"/>
            </w:tcBorders>
            <w:vAlign w:val="center"/>
          </w:tcPr>
          <w:p w14:paraId="1A6D9E83">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lang w:val="en-US" w:eastAsia="zh-CN"/>
              </w:rPr>
              <w:t>发布</w:t>
            </w:r>
            <w:r>
              <w:rPr>
                <w:rFonts w:hint="eastAsia" w:ascii="华文中宋" w:hAnsi="华文中宋" w:eastAsia="华文中宋"/>
                <w:color w:val="000000"/>
                <w:sz w:val="28"/>
              </w:rPr>
              <w:t>日期</w:t>
            </w:r>
          </w:p>
        </w:tc>
        <w:tc>
          <w:tcPr>
            <w:tcW w:w="4221" w:type="dxa"/>
            <w:gridSpan w:val="4"/>
            <w:tcBorders>
              <w:tl2br w:val="nil"/>
              <w:tr2bl w:val="nil"/>
            </w:tcBorders>
            <w:vAlign w:val="center"/>
          </w:tcPr>
          <w:p w14:paraId="7A9847B7">
            <w:pPr>
              <w:spacing w:line="260" w:lineRule="exact"/>
              <w:rPr>
                <w:rFonts w:hint="default" w:ascii="仿宋" w:hAnsi="仿宋" w:eastAsia="仿宋" w:cs="仿宋"/>
                <w:color w:val="000000"/>
                <w:sz w:val="21"/>
                <w:szCs w:val="15"/>
                <w:lang w:val="en-US" w:eastAsia="zh-CN"/>
              </w:rPr>
            </w:pPr>
            <w:r>
              <w:rPr>
                <w:rFonts w:hint="eastAsia" w:ascii="仿宋" w:hAnsi="仿宋" w:eastAsia="仿宋" w:cs="仿宋"/>
                <w:color w:val="000000"/>
                <w:sz w:val="21"/>
                <w:szCs w:val="15"/>
                <w:lang w:val="en-US" w:eastAsia="zh-CN"/>
              </w:rPr>
              <w:t>2025年第10</w:t>
            </w:r>
            <w:r>
              <w:rPr>
                <w:rFonts w:hint="eastAsia" w:ascii="仿宋" w:hAnsi="仿宋" w:eastAsia="仿宋" w:cs="仿宋"/>
                <w:color w:val="000000"/>
                <w:sz w:val="21"/>
                <w:szCs w:val="15"/>
              </w:rPr>
              <w:t>期</w:t>
            </w:r>
          </w:p>
        </w:tc>
      </w:tr>
      <w:tr w14:paraId="60708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8" w:hRule="atLeast"/>
        </w:trPr>
        <w:tc>
          <w:tcPr>
            <w:tcW w:w="1504" w:type="dxa"/>
            <w:gridSpan w:val="2"/>
            <w:tcBorders>
              <w:tl2br w:val="nil"/>
              <w:tr2bl w:val="nil"/>
            </w:tcBorders>
            <w:vAlign w:val="center"/>
          </w:tcPr>
          <w:p w14:paraId="2FC99FA4">
            <w:pPr>
              <w:spacing w:line="320" w:lineRule="exact"/>
              <w:jc w:val="center"/>
              <w:rPr>
                <w:rFonts w:hint="eastAsia" w:ascii="华文中宋" w:hAnsi="华文中宋" w:eastAsia="华文中宋"/>
                <w:color w:val="000000"/>
                <w:sz w:val="24"/>
                <w:szCs w:val="21"/>
                <w:lang w:eastAsia="zh-CN"/>
              </w:rPr>
            </w:pPr>
            <w:r>
              <w:rPr>
                <w:rFonts w:hint="eastAsia" w:ascii="华文中宋" w:hAnsi="华文中宋" w:eastAsia="华文中宋"/>
                <w:color w:val="000000"/>
                <w:sz w:val="24"/>
                <w:szCs w:val="21"/>
              </w:rPr>
              <w:t>新媒体</w:t>
            </w:r>
            <w:r>
              <w:rPr>
                <w:rFonts w:hint="default" w:ascii="华文中宋" w:hAnsi="华文中宋" w:eastAsia="华文中宋"/>
                <w:color w:val="000000"/>
                <w:sz w:val="24"/>
                <w:szCs w:val="21"/>
                <w:lang w:val="en-US"/>
              </w:rPr>
              <w:t>作品</w:t>
            </w:r>
          </w:p>
          <w:p w14:paraId="32F6A552">
            <w:pPr>
              <w:spacing w:line="320" w:lineRule="exact"/>
              <w:jc w:val="center"/>
              <w:rPr>
                <w:rFonts w:hint="eastAsia" w:ascii="方正仿宋_GB2312" w:hAnsi="仿宋" w:eastAsia="华文中宋"/>
                <w:color w:val="000000"/>
                <w:szCs w:val="21"/>
                <w:lang w:eastAsia="zh-CN"/>
              </w:rPr>
            </w:pPr>
            <w:r>
              <w:rPr>
                <w:rFonts w:hint="eastAsia" w:ascii="华文中宋" w:hAnsi="华文中宋" w:eastAsia="华文中宋"/>
                <w:color w:val="000000"/>
                <w:sz w:val="24"/>
                <w:szCs w:val="21"/>
                <w:lang w:val="en-US" w:eastAsia="zh-CN"/>
              </w:rPr>
              <w:t>链接</w:t>
            </w:r>
          </w:p>
        </w:tc>
        <w:tc>
          <w:tcPr>
            <w:tcW w:w="5035" w:type="dxa"/>
            <w:gridSpan w:val="5"/>
            <w:tcBorders>
              <w:tl2br w:val="nil"/>
              <w:tr2bl w:val="nil"/>
            </w:tcBorders>
            <w:vAlign w:val="center"/>
          </w:tcPr>
          <w:p w14:paraId="78E7ED31">
            <w:pPr>
              <w:spacing w:line="260" w:lineRule="exact"/>
              <w:rPr>
                <w:rFonts w:hint="eastAsia" w:ascii="华文中宋" w:hAnsi="华文中宋" w:eastAsia="华文中宋"/>
                <w:color w:val="000000"/>
                <w:sz w:val="28"/>
              </w:rPr>
            </w:pPr>
          </w:p>
        </w:tc>
        <w:tc>
          <w:tcPr>
            <w:tcW w:w="1742" w:type="dxa"/>
            <w:gridSpan w:val="2"/>
            <w:tcBorders>
              <w:tl2br w:val="nil"/>
              <w:tr2bl w:val="nil"/>
            </w:tcBorders>
            <w:vAlign w:val="center"/>
          </w:tcPr>
          <w:p w14:paraId="79A0CB2B">
            <w:pPr>
              <w:spacing w:line="320" w:lineRule="exact"/>
              <w:jc w:val="center"/>
              <w:rPr>
                <w:rFonts w:hint="eastAsia" w:ascii="华文中宋" w:hAnsi="华文中宋" w:eastAsia="华文中宋"/>
                <w:color w:val="000000"/>
                <w:sz w:val="22"/>
                <w:szCs w:val="20"/>
              </w:rPr>
            </w:pPr>
            <w:r>
              <w:rPr>
                <w:rFonts w:hint="eastAsia" w:ascii="华文中宋" w:hAnsi="华文中宋" w:eastAsia="华文中宋"/>
                <w:color w:val="000000"/>
                <w:sz w:val="22"/>
                <w:szCs w:val="20"/>
              </w:rPr>
              <w:t>是否为</w:t>
            </w:r>
          </w:p>
          <w:p w14:paraId="748372CC">
            <w:pPr>
              <w:spacing w:line="320" w:lineRule="exact"/>
              <w:jc w:val="center"/>
              <w:rPr>
                <w:rFonts w:hint="eastAsia" w:ascii="华文中宋" w:hAnsi="华文中宋" w:eastAsia="华文中宋"/>
                <w:color w:val="000000"/>
                <w:sz w:val="24"/>
                <w:szCs w:val="21"/>
              </w:rPr>
            </w:pPr>
            <w:r>
              <w:rPr>
                <w:rFonts w:hint="eastAsia" w:ascii="华文中宋" w:hAnsi="华文中宋" w:eastAsia="华文中宋"/>
                <w:color w:val="000000"/>
                <w:sz w:val="22"/>
                <w:szCs w:val="20"/>
              </w:rPr>
              <w:t>“三好作品”</w:t>
            </w:r>
          </w:p>
        </w:tc>
        <w:tc>
          <w:tcPr>
            <w:tcW w:w="1532" w:type="dxa"/>
            <w:tcBorders>
              <w:tl2br w:val="nil"/>
              <w:tr2bl w:val="nil"/>
            </w:tcBorders>
            <w:vAlign w:val="center"/>
          </w:tcPr>
          <w:p w14:paraId="3B30F695">
            <w:pPr>
              <w:spacing w:line="320" w:lineRule="exact"/>
              <w:jc w:val="center"/>
              <w:rPr>
                <w:rFonts w:hint="eastAsia" w:ascii="华文中宋" w:hAnsi="华文中宋" w:eastAsia="华文中宋"/>
                <w:color w:val="000000"/>
                <w:sz w:val="28"/>
                <w:lang w:val="en-US" w:eastAsia="zh-CN"/>
              </w:rPr>
            </w:pPr>
            <w:r>
              <w:rPr>
                <w:rFonts w:hint="eastAsia" w:ascii="华文中宋" w:hAnsi="华文中宋" w:eastAsia="华文中宋"/>
                <w:color w:val="000000"/>
                <w:sz w:val="22"/>
                <w:szCs w:val="20"/>
                <w:lang w:val="en-US" w:eastAsia="zh-CN"/>
              </w:rPr>
              <w:t>否</w:t>
            </w:r>
          </w:p>
        </w:tc>
      </w:tr>
      <w:tr w14:paraId="6D9FA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992" w:type="dxa"/>
            <w:tcBorders>
              <w:tl2br w:val="nil"/>
              <w:tr2bl w:val="nil"/>
            </w:tcBorders>
            <w:vAlign w:val="center"/>
          </w:tcPr>
          <w:p w14:paraId="3869C970">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作</w:t>
            </w:r>
          </w:p>
          <w:p w14:paraId="4D61922C">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品</w:t>
            </w:r>
          </w:p>
          <w:p w14:paraId="33317C93">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简</w:t>
            </w:r>
          </w:p>
          <w:p w14:paraId="55AC6290">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介</w:t>
            </w:r>
          </w:p>
        </w:tc>
        <w:tc>
          <w:tcPr>
            <w:tcW w:w="8821" w:type="dxa"/>
            <w:gridSpan w:val="9"/>
            <w:tcBorders>
              <w:tl2br w:val="nil"/>
              <w:tr2bl w:val="nil"/>
            </w:tcBorders>
            <w:vAlign w:val="center"/>
          </w:tcPr>
          <w:p w14:paraId="7A6FD5B2">
            <w:pPr>
              <w:ind w:firstLine="420" w:firstLineChars="200"/>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评论有多少面孔？传统评论还有人看吗？融媒时代传统评论如何在舆论场“突围”？</w:t>
            </w:r>
          </w:p>
          <w:p w14:paraId="7EDAEC63">
            <w:pPr>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该论文</w:t>
            </w:r>
            <w:r>
              <w:rPr>
                <w:rFonts w:hint="eastAsia" w:ascii="仿宋" w:hAnsi="仿宋" w:eastAsia="仿宋" w:cs="仿宋"/>
                <w:color w:val="000000"/>
                <w:sz w:val="21"/>
                <w:szCs w:val="21"/>
              </w:rPr>
              <w:t>聚焦融媒时代</w:t>
            </w:r>
            <w:r>
              <w:rPr>
                <w:rFonts w:hint="eastAsia" w:ascii="仿宋" w:hAnsi="仿宋" w:eastAsia="仿宋" w:cs="仿宋"/>
                <w:color w:val="000000"/>
                <w:sz w:val="21"/>
                <w:szCs w:val="21"/>
                <w:lang w:val="en-US" w:eastAsia="zh-CN"/>
              </w:rPr>
              <w:t>传统</w:t>
            </w:r>
            <w:r>
              <w:rPr>
                <w:rFonts w:hint="eastAsia" w:ascii="仿宋" w:hAnsi="仿宋" w:eastAsia="仿宋" w:cs="仿宋"/>
                <w:color w:val="000000"/>
                <w:sz w:val="21"/>
                <w:szCs w:val="21"/>
              </w:rPr>
              <w:t>媒体新闻评论的表达困境与突围路径，以平视、平实、谦抑性为核心框架，阐释评论增强表达穿透力的逻辑与实践，回应主流媒体舆论引导能力提升的时代命题。论文立足互联网传播生态，直面受众注意力碎片化、传受关系平等化、舆论场多元博弈等现实挑战，从传播伦理、话语转型、文风革新</w:t>
            </w:r>
            <w:r>
              <w:rPr>
                <w:rFonts w:hint="eastAsia" w:ascii="仿宋" w:hAnsi="仿宋" w:eastAsia="仿宋" w:cs="仿宋"/>
                <w:color w:val="000000"/>
                <w:sz w:val="21"/>
                <w:szCs w:val="21"/>
                <w:lang w:val="en-US" w:eastAsia="zh-CN"/>
              </w:rPr>
              <w:t>等</w:t>
            </w:r>
            <w:r>
              <w:rPr>
                <w:rFonts w:hint="eastAsia" w:ascii="仿宋" w:hAnsi="仿宋" w:eastAsia="仿宋" w:cs="仿宋"/>
                <w:color w:val="000000"/>
                <w:sz w:val="21"/>
                <w:szCs w:val="21"/>
              </w:rPr>
              <w:t>维度展开论述：平视强调尊重受众、立场共情与语态年轻化；平实倡导返璞归真、真诚表达，以大白话增强亲近感与说服力；谦抑性主张去说教、去油腻，秉持理性与格局，实现有锋芒亦有温度的观点输出。</w:t>
            </w:r>
          </w:p>
          <w:p w14:paraId="755233F1">
            <w:pPr>
              <w:ind w:firstLine="420" w:firstLineChars="200"/>
              <w:rPr>
                <w:rFonts w:hint="eastAsia" w:ascii="仿宋" w:hAnsi="仿宋" w:eastAsia="仿宋"/>
                <w:color w:val="000000"/>
                <w:w w:val="95"/>
                <w:sz w:val="21"/>
                <w:szCs w:val="21"/>
              </w:rPr>
            </w:pPr>
            <w:r>
              <w:rPr>
                <w:rFonts w:hint="eastAsia" w:ascii="仿宋" w:hAnsi="仿宋" w:eastAsia="仿宋" w:cs="仿宋"/>
                <w:color w:val="000000"/>
                <w:sz w:val="21"/>
                <w:szCs w:val="21"/>
                <w:lang w:val="en-US" w:eastAsia="zh-CN"/>
              </w:rPr>
              <w:t>该论文</w:t>
            </w:r>
            <w:r>
              <w:rPr>
                <w:rFonts w:hint="eastAsia" w:ascii="仿宋" w:hAnsi="仿宋" w:eastAsia="仿宋" w:cs="仿宋"/>
                <w:color w:val="000000"/>
                <w:sz w:val="21"/>
                <w:szCs w:val="21"/>
              </w:rPr>
              <w:t>以光明日报、工人日报、上观新闻等多篇获</w:t>
            </w:r>
            <w:r>
              <w:rPr>
                <w:rFonts w:hint="eastAsia" w:ascii="仿宋" w:hAnsi="仿宋" w:eastAsia="仿宋" w:cs="仿宋"/>
                <w:color w:val="000000"/>
                <w:sz w:val="21"/>
                <w:szCs w:val="21"/>
                <w:lang w:val="en-US" w:eastAsia="zh-CN"/>
              </w:rPr>
              <w:t>得中国新闻</w:t>
            </w:r>
            <w:r>
              <w:rPr>
                <w:rFonts w:hint="eastAsia" w:ascii="仿宋" w:hAnsi="仿宋" w:eastAsia="仿宋" w:cs="仿宋"/>
                <w:color w:val="000000"/>
                <w:sz w:val="21"/>
                <w:szCs w:val="21"/>
              </w:rPr>
              <w:t>奖</w:t>
            </w:r>
            <w:r>
              <w:rPr>
                <w:rFonts w:hint="eastAsia" w:ascii="仿宋" w:hAnsi="仿宋" w:eastAsia="仿宋" w:cs="仿宋"/>
                <w:color w:val="000000"/>
                <w:sz w:val="21"/>
                <w:szCs w:val="21"/>
                <w:lang w:val="en-US" w:eastAsia="zh-CN"/>
              </w:rPr>
              <w:t>的</w:t>
            </w:r>
            <w:r>
              <w:rPr>
                <w:rFonts w:hint="eastAsia" w:ascii="仿宋" w:hAnsi="仿宋" w:eastAsia="仿宋" w:cs="仿宋"/>
                <w:color w:val="000000"/>
                <w:sz w:val="21"/>
                <w:szCs w:val="21"/>
              </w:rPr>
              <w:t>评论</w:t>
            </w:r>
            <w:r>
              <w:rPr>
                <w:rFonts w:hint="eastAsia" w:ascii="仿宋" w:hAnsi="仿宋" w:eastAsia="仿宋" w:cs="仿宋"/>
                <w:color w:val="000000"/>
                <w:sz w:val="21"/>
                <w:szCs w:val="21"/>
                <w:lang w:val="en-US" w:eastAsia="zh-CN"/>
              </w:rPr>
              <w:t>作品</w:t>
            </w:r>
            <w:r>
              <w:rPr>
                <w:rFonts w:hint="eastAsia" w:ascii="仿宋" w:hAnsi="仿宋" w:eastAsia="仿宋" w:cs="仿宋"/>
                <w:color w:val="000000"/>
                <w:sz w:val="21"/>
                <w:szCs w:val="21"/>
              </w:rPr>
              <w:t>与爆款融媒评论为样本，理论阐释与案例剖析结合，兼具学理性与实践性，为新闻评论生产提供可操作的改进方案。刊发后</w:t>
            </w:r>
            <w:r>
              <w:rPr>
                <w:rFonts w:hint="eastAsia" w:ascii="仿宋" w:hAnsi="仿宋" w:eastAsia="仿宋" w:cs="仿宋"/>
                <w:color w:val="000000"/>
                <w:sz w:val="21"/>
                <w:szCs w:val="21"/>
                <w:lang w:val="en-US" w:eastAsia="zh-CN"/>
              </w:rPr>
              <w:t>被中国知网收录，受到</w:t>
            </w:r>
            <w:r>
              <w:rPr>
                <w:rFonts w:hint="eastAsia" w:ascii="仿宋" w:hAnsi="仿宋" w:eastAsia="仿宋" w:cs="仿宋"/>
                <w:color w:val="000000"/>
                <w:sz w:val="21"/>
                <w:szCs w:val="21"/>
              </w:rPr>
              <w:t>行业期刊、教研平台</w:t>
            </w:r>
            <w:r>
              <w:rPr>
                <w:rFonts w:hint="eastAsia" w:ascii="仿宋" w:hAnsi="仿宋" w:eastAsia="仿宋" w:cs="仿宋"/>
                <w:color w:val="000000"/>
                <w:sz w:val="21"/>
                <w:szCs w:val="21"/>
                <w:lang w:val="en-US" w:eastAsia="zh-CN"/>
              </w:rPr>
              <w:t>等</w:t>
            </w:r>
            <w:r>
              <w:rPr>
                <w:rFonts w:hint="eastAsia" w:ascii="仿宋" w:hAnsi="仿宋" w:eastAsia="仿宋" w:cs="仿宋"/>
                <w:color w:val="000000"/>
                <w:sz w:val="21"/>
                <w:szCs w:val="21"/>
              </w:rPr>
              <w:t>广泛</w:t>
            </w:r>
            <w:r>
              <w:rPr>
                <w:rFonts w:hint="eastAsia" w:ascii="仿宋" w:hAnsi="仿宋" w:eastAsia="仿宋" w:cs="仿宋"/>
                <w:color w:val="000000"/>
                <w:sz w:val="21"/>
                <w:szCs w:val="21"/>
                <w:lang w:val="en-US" w:eastAsia="zh-CN"/>
              </w:rPr>
              <w:t>关注</w:t>
            </w:r>
            <w:r>
              <w:rPr>
                <w:rFonts w:hint="eastAsia" w:ascii="仿宋" w:hAnsi="仿宋" w:eastAsia="仿宋" w:cs="仿宋"/>
                <w:color w:val="000000"/>
                <w:sz w:val="21"/>
                <w:szCs w:val="21"/>
              </w:rPr>
              <w:t>，对主流媒体改进评论文风、创新</w:t>
            </w:r>
            <w:r>
              <w:rPr>
                <w:rFonts w:hint="eastAsia" w:ascii="仿宋" w:hAnsi="仿宋" w:eastAsia="仿宋" w:cs="仿宋"/>
                <w:color w:val="000000"/>
                <w:sz w:val="21"/>
                <w:szCs w:val="21"/>
                <w:lang w:val="en-US" w:eastAsia="zh-CN"/>
              </w:rPr>
              <w:t>表达</w:t>
            </w:r>
            <w:r>
              <w:rPr>
                <w:rFonts w:hint="eastAsia" w:ascii="仿宋" w:hAnsi="仿宋" w:eastAsia="仿宋" w:cs="仿宋"/>
                <w:color w:val="000000"/>
                <w:sz w:val="21"/>
                <w:szCs w:val="21"/>
              </w:rPr>
              <w:t>方式、提升舆论引导效能</w:t>
            </w:r>
            <w:r>
              <w:rPr>
                <w:rFonts w:hint="eastAsia" w:ascii="仿宋" w:hAnsi="仿宋" w:eastAsia="仿宋" w:cs="仿宋"/>
                <w:color w:val="000000"/>
                <w:sz w:val="21"/>
                <w:szCs w:val="21"/>
                <w:lang w:val="en-US" w:eastAsia="zh-CN"/>
              </w:rPr>
              <w:t>具有</w:t>
            </w:r>
            <w:r>
              <w:rPr>
                <w:rFonts w:hint="eastAsia" w:ascii="仿宋" w:hAnsi="仿宋" w:eastAsia="仿宋" w:cs="仿宋"/>
                <w:color w:val="000000"/>
                <w:sz w:val="21"/>
                <w:szCs w:val="21"/>
              </w:rPr>
              <w:t>示范</w:t>
            </w:r>
            <w:r>
              <w:rPr>
                <w:rFonts w:hint="eastAsia" w:ascii="仿宋" w:hAnsi="仿宋" w:eastAsia="仿宋" w:cs="仿宋"/>
                <w:color w:val="000000"/>
                <w:sz w:val="21"/>
                <w:szCs w:val="21"/>
                <w:lang w:val="en-US" w:eastAsia="zh-CN"/>
              </w:rPr>
              <w:t>和指导</w:t>
            </w:r>
            <w:r>
              <w:rPr>
                <w:rFonts w:hint="eastAsia" w:ascii="仿宋" w:hAnsi="仿宋" w:eastAsia="仿宋" w:cs="仿宋"/>
                <w:color w:val="000000"/>
                <w:sz w:val="21"/>
                <w:szCs w:val="21"/>
              </w:rPr>
              <w:t>作用。</w:t>
            </w:r>
            <w:r>
              <w:rPr>
                <w:rFonts w:hint="eastAsia" w:ascii="仿宋" w:hAnsi="仿宋" w:eastAsia="仿宋" w:cs="仿宋"/>
                <w:color w:val="000000"/>
                <w:sz w:val="21"/>
                <w:szCs w:val="21"/>
                <w:lang w:val="en-US" w:eastAsia="zh-CN"/>
              </w:rPr>
              <w:t>此次</w:t>
            </w:r>
            <w:r>
              <w:rPr>
                <w:rFonts w:hint="eastAsia" w:ascii="仿宋" w:hAnsi="仿宋" w:eastAsia="仿宋" w:cs="仿宋"/>
                <w:color w:val="000000"/>
                <w:sz w:val="21"/>
                <w:szCs w:val="21"/>
              </w:rPr>
              <w:t>研究紧扣马克思主义新闻观与以人民为中心的工作导向，助力提升新闻舆论传播力、引导力、影响力、公信力，在新闻业务研究与实践创新层面具有重要专业价值与现实意义。</w:t>
            </w:r>
          </w:p>
        </w:tc>
      </w:tr>
      <w:tr w14:paraId="05D05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6" w:hRule="exact"/>
        </w:trPr>
        <w:tc>
          <w:tcPr>
            <w:tcW w:w="992" w:type="dxa"/>
            <w:vMerge w:val="restart"/>
            <w:tcBorders>
              <w:tl2br w:val="nil"/>
              <w:tr2bl w:val="nil"/>
            </w:tcBorders>
            <w:vAlign w:val="center"/>
          </w:tcPr>
          <w:p w14:paraId="7BFC70BA">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传</w:t>
            </w:r>
          </w:p>
          <w:p w14:paraId="0F6B8EA2">
            <w:pPr>
              <w:spacing w:line="320" w:lineRule="exact"/>
              <w:jc w:val="center"/>
              <w:rPr>
                <w:rFonts w:hint="default" w:ascii="华文中宋" w:hAnsi="华文中宋" w:eastAsia="华文中宋"/>
                <w:color w:val="000000"/>
                <w:sz w:val="28"/>
                <w:szCs w:val="22"/>
                <w:lang w:val="en-US" w:eastAsia="zh-CN"/>
              </w:rPr>
            </w:pPr>
            <w:r>
              <w:rPr>
                <w:rFonts w:hint="eastAsia" w:ascii="华文中宋" w:hAnsi="华文中宋" w:eastAsia="华文中宋"/>
                <w:color w:val="000000"/>
                <w:sz w:val="28"/>
                <w:szCs w:val="22"/>
              </w:rPr>
              <w:t>播</w:t>
            </w:r>
          </w:p>
          <w:p w14:paraId="1A867DFC">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数</w:t>
            </w:r>
          </w:p>
          <w:p w14:paraId="0EFA37B9">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据</w:t>
            </w:r>
          </w:p>
        </w:tc>
        <w:tc>
          <w:tcPr>
            <w:tcW w:w="1400" w:type="dxa"/>
            <w:gridSpan w:val="2"/>
            <w:tcBorders>
              <w:tl2br w:val="nil"/>
              <w:tr2bl w:val="nil"/>
            </w:tcBorders>
            <w:vAlign w:val="center"/>
          </w:tcPr>
          <w:p w14:paraId="0B930050">
            <w:pPr>
              <w:jc w:val="center"/>
              <w:rPr>
                <w:rFonts w:hint="eastAsia" w:ascii="楷体" w:hAnsi="楷体" w:eastAsia="楷体" w:cs="楷体"/>
                <w:b/>
                <w:bCs/>
                <w:color w:val="000000"/>
                <w:sz w:val="24"/>
                <w:szCs w:val="18"/>
              </w:rPr>
            </w:pPr>
            <w:r>
              <w:rPr>
                <w:rFonts w:hint="eastAsia" w:ascii="楷体" w:hAnsi="楷体" w:eastAsia="楷体" w:cs="楷体"/>
                <w:b/>
                <w:bCs/>
                <w:color w:val="000000"/>
                <w:spacing w:val="-10"/>
                <w:sz w:val="24"/>
                <w:szCs w:val="18"/>
                <w:lang w:val="en-US" w:eastAsia="zh-CN"/>
              </w:rPr>
              <w:t>全网</w:t>
            </w:r>
            <w:r>
              <w:rPr>
                <w:rFonts w:hint="eastAsia" w:ascii="楷体" w:hAnsi="楷体" w:eastAsia="楷体" w:cs="楷体"/>
                <w:b/>
                <w:bCs/>
                <w:color w:val="000000"/>
                <w:spacing w:val="-10"/>
                <w:sz w:val="24"/>
                <w:szCs w:val="18"/>
              </w:rPr>
              <w:t>传播</w:t>
            </w:r>
            <w:r>
              <w:rPr>
                <w:rFonts w:hint="eastAsia" w:ascii="楷体" w:hAnsi="楷体" w:eastAsia="楷体" w:cs="楷体"/>
                <w:b/>
                <w:bCs/>
                <w:color w:val="000000"/>
                <w:spacing w:val="-10"/>
                <w:sz w:val="24"/>
                <w:szCs w:val="18"/>
                <w:lang w:val="en-US" w:eastAsia="zh-CN"/>
              </w:rPr>
              <w:t>量最高</w:t>
            </w:r>
            <w:r>
              <w:rPr>
                <w:rFonts w:hint="eastAsia" w:ascii="楷体" w:hAnsi="楷体" w:eastAsia="楷体" w:cs="楷体"/>
                <w:b/>
                <w:bCs/>
                <w:color w:val="000000"/>
                <w:sz w:val="24"/>
                <w:szCs w:val="18"/>
              </w:rPr>
              <w:t>平台</w:t>
            </w:r>
          </w:p>
          <w:p w14:paraId="436EEDCF">
            <w:pPr>
              <w:jc w:val="center"/>
              <w:rPr>
                <w:rFonts w:hint="eastAsia" w:ascii="楷体" w:hAnsi="楷体" w:eastAsia="楷体" w:cs="楷体"/>
                <w:b/>
                <w:bCs/>
                <w:color w:val="000000"/>
                <w:sz w:val="24"/>
                <w:szCs w:val="18"/>
                <w:lang w:val="en-US" w:eastAsia="zh-CN"/>
              </w:rPr>
            </w:pPr>
            <w:r>
              <w:rPr>
                <w:rFonts w:hint="eastAsia" w:ascii="楷体" w:hAnsi="楷体" w:eastAsia="楷体" w:cs="楷体"/>
                <w:b/>
                <w:bCs/>
                <w:color w:val="000000"/>
                <w:sz w:val="24"/>
                <w:szCs w:val="18"/>
                <w:lang w:val="en-US" w:eastAsia="zh-CN"/>
              </w:rPr>
              <w:t>发布链接</w:t>
            </w:r>
          </w:p>
        </w:tc>
        <w:tc>
          <w:tcPr>
            <w:tcW w:w="7421" w:type="dxa"/>
            <w:gridSpan w:val="7"/>
            <w:tcBorders>
              <w:tl2br w:val="nil"/>
              <w:tr2bl w:val="nil"/>
            </w:tcBorders>
            <w:vAlign w:val="center"/>
          </w:tcPr>
          <w:p w14:paraId="10EAC8E2">
            <w:pPr>
              <w:spacing w:line="280" w:lineRule="exact"/>
              <w:rPr>
                <w:rFonts w:hint="eastAsia" w:ascii="仿宋" w:hAnsi="仿宋" w:eastAsia="仿宋"/>
                <w:color w:val="000000"/>
                <w:szCs w:val="21"/>
              </w:rPr>
            </w:pPr>
          </w:p>
        </w:tc>
      </w:tr>
      <w:tr w14:paraId="5E561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exact"/>
        </w:trPr>
        <w:tc>
          <w:tcPr>
            <w:tcW w:w="992" w:type="dxa"/>
            <w:vMerge w:val="continue"/>
            <w:tcBorders>
              <w:tl2br w:val="nil"/>
              <w:tr2bl w:val="nil"/>
            </w:tcBorders>
            <w:vAlign w:val="center"/>
          </w:tcPr>
          <w:p w14:paraId="40CAB92D">
            <w:pPr>
              <w:spacing w:line="320" w:lineRule="exact"/>
              <w:jc w:val="center"/>
              <w:rPr>
                <w:rFonts w:hint="eastAsia" w:ascii="华文中宋" w:hAnsi="华文中宋" w:eastAsia="华文中宋"/>
                <w:color w:val="000000"/>
                <w:sz w:val="28"/>
              </w:rPr>
            </w:pPr>
          </w:p>
        </w:tc>
        <w:tc>
          <w:tcPr>
            <w:tcW w:w="1400" w:type="dxa"/>
            <w:gridSpan w:val="2"/>
            <w:tcBorders>
              <w:tl2br w:val="nil"/>
              <w:tr2bl w:val="nil"/>
            </w:tcBorders>
            <w:shd w:val="clear" w:color="auto" w:fill="auto"/>
            <w:vAlign w:val="center"/>
          </w:tcPr>
          <w:p w14:paraId="359C1F04">
            <w:pPr>
              <w:spacing w:line="240" w:lineRule="exact"/>
              <w:jc w:val="center"/>
              <w:rPr>
                <w:rFonts w:hint="eastAsia" w:ascii="楷体" w:hAnsi="楷体" w:eastAsia="楷体" w:cs="楷体"/>
                <w:b/>
                <w:bCs/>
                <w:color w:val="000000"/>
                <w:sz w:val="21"/>
                <w:szCs w:val="21"/>
                <w:lang w:val="en-US" w:eastAsia="zh-CN"/>
              </w:rPr>
            </w:pPr>
            <w:r>
              <w:rPr>
                <w:rFonts w:hint="eastAsia" w:ascii="楷体" w:hAnsi="楷体" w:eastAsia="楷体" w:cs="楷体"/>
                <w:b/>
                <w:bCs/>
                <w:color w:val="000000"/>
                <w:sz w:val="21"/>
                <w:szCs w:val="21"/>
                <w:lang w:val="en-US" w:eastAsia="zh-CN"/>
              </w:rPr>
              <w:t>该平台</w:t>
            </w:r>
          </w:p>
          <w:p w14:paraId="0CD586AA">
            <w:pPr>
              <w:spacing w:line="240" w:lineRule="exact"/>
              <w:jc w:val="center"/>
              <w:rPr>
                <w:rFonts w:hint="default" w:ascii="仿宋" w:hAnsi="仿宋" w:eastAsia="楷体" w:cstheme="minorBidi"/>
                <w:color w:val="000000"/>
                <w:kern w:val="2"/>
                <w:sz w:val="21"/>
                <w:szCs w:val="21"/>
                <w:lang w:val="en-US" w:eastAsia="zh-CN" w:bidi="ar-SA"/>
              </w:rPr>
            </w:pPr>
            <w:r>
              <w:rPr>
                <w:rFonts w:hint="eastAsia" w:ascii="楷体" w:hAnsi="楷体" w:eastAsia="楷体" w:cs="楷体"/>
                <w:b/>
                <w:bCs/>
                <w:color w:val="000000"/>
                <w:sz w:val="21"/>
                <w:szCs w:val="21"/>
                <w:lang w:val="en-US" w:eastAsia="zh-CN"/>
              </w:rPr>
              <w:t>传播量</w:t>
            </w:r>
          </w:p>
        </w:tc>
        <w:tc>
          <w:tcPr>
            <w:tcW w:w="1323" w:type="dxa"/>
            <w:tcBorders>
              <w:tl2br w:val="nil"/>
              <w:tr2bl w:val="nil"/>
            </w:tcBorders>
            <w:shd w:val="clear" w:color="auto" w:fill="auto"/>
            <w:vAlign w:val="center"/>
          </w:tcPr>
          <w:p w14:paraId="769BF1DC">
            <w:pPr>
              <w:spacing w:line="240" w:lineRule="exact"/>
              <w:rPr>
                <w:rFonts w:hint="eastAsia" w:ascii="仿宋" w:hAnsi="仿宋" w:eastAsia="仿宋" w:cstheme="minorBidi"/>
                <w:color w:val="000000"/>
                <w:kern w:val="2"/>
                <w:sz w:val="21"/>
                <w:szCs w:val="21"/>
                <w:lang w:val="en-US" w:eastAsia="zh-CN" w:bidi="ar-SA"/>
              </w:rPr>
            </w:pPr>
          </w:p>
        </w:tc>
        <w:tc>
          <w:tcPr>
            <w:tcW w:w="1005" w:type="dxa"/>
            <w:tcBorders>
              <w:tl2br w:val="nil"/>
              <w:tr2bl w:val="nil"/>
            </w:tcBorders>
            <w:shd w:val="clear" w:color="auto" w:fill="auto"/>
            <w:vAlign w:val="center"/>
          </w:tcPr>
          <w:p w14:paraId="40B3F7F4">
            <w:pPr>
              <w:spacing w:line="240" w:lineRule="exact"/>
              <w:jc w:val="center"/>
              <w:rPr>
                <w:rFonts w:hint="eastAsia" w:ascii="楷体" w:hAnsi="楷体" w:eastAsia="楷体" w:cs="楷体"/>
                <w:b/>
                <w:bCs/>
                <w:color w:val="000000"/>
                <w:sz w:val="21"/>
                <w:szCs w:val="21"/>
                <w:lang w:val="en-US" w:eastAsia="zh-CN"/>
              </w:rPr>
            </w:pPr>
            <w:r>
              <w:rPr>
                <w:rFonts w:hint="eastAsia" w:ascii="楷体" w:hAnsi="楷体" w:eastAsia="楷体" w:cs="楷体"/>
                <w:b/>
                <w:bCs/>
                <w:color w:val="000000"/>
                <w:sz w:val="21"/>
                <w:szCs w:val="21"/>
                <w:lang w:val="en-US" w:eastAsia="zh-CN"/>
              </w:rPr>
              <w:t>该平台</w:t>
            </w:r>
          </w:p>
          <w:p w14:paraId="579A7769">
            <w:pPr>
              <w:spacing w:line="240" w:lineRule="exact"/>
              <w:jc w:val="center"/>
              <w:rPr>
                <w:rFonts w:hint="default" w:ascii="仿宋" w:hAnsi="仿宋" w:eastAsia="仿宋" w:cstheme="minorBidi"/>
                <w:color w:val="000000"/>
                <w:kern w:val="2"/>
                <w:sz w:val="21"/>
                <w:szCs w:val="21"/>
                <w:lang w:val="en-US" w:eastAsia="zh-CN" w:bidi="ar-SA"/>
              </w:rPr>
            </w:pPr>
            <w:r>
              <w:rPr>
                <w:rFonts w:hint="eastAsia" w:ascii="楷体" w:hAnsi="楷体" w:eastAsia="楷体" w:cs="楷体"/>
                <w:b/>
                <w:bCs/>
                <w:color w:val="000000"/>
                <w:sz w:val="21"/>
                <w:szCs w:val="21"/>
              </w:rPr>
              <w:t>互动</w:t>
            </w:r>
            <w:r>
              <w:rPr>
                <w:rFonts w:hint="eastAsia" w:ascii="楷体" w:hAnsi="楷体" w:eastAsia="楷体" w:cs="楷体"/>
                <w:b/>
                <w:bCs/>
                <w:color w:val="000000"/>
                <w:sz w:val="21"/>
                <w:szCs w:val="21"/>
                <w:lang w:val="en-US" w:eastAsia="zh-CN"/>
              </w:rPr>
              <w:t>量</w:t>
            </w:r>
          </w:p>
        </w:tc>
        <w:tc>
          <w:tcPr>
            <w:tcW w:w="2439" w:type="dxa"/>
            <w:gridSpan w:val="3"/>
            <w:tcBorders>
              <w:tl2br w:val="nil"/>
              <w:tr2bl w:val="nil"/>
            </w:tcBorders>
            <w:vAlign w:val="center"/>
          </w:tcPr>
          <w:p w14:paraId="5BE3E5F6">
            <w:pPr>
              <w:spacing w:line="240" w:lineRule="exact"/>
              <w:rPr>
                <w:rFonts w:hint="default" w:ascii="仿宋" w:hAnsi="仿宋" w:eastAsia="仿宋"/>
                <w:color w:val="000000"/>
                <w:sz w:val="21"/>
                <w:szCs w:val="21"/>
                <w:lang w:val="en-US" w:eastAsia="zh-CN"/>
              </w:rPr>
            </w:pPr>
          </w:p>
        </w:tc>
        <w:tc>
          <w:tcPr>
            <w:tcW w:w="1122" w:type="dxa"/>
            <w:tcBorders>
              <w:tl2br w:val="nil"/>
              <w:tr2bl w:val="nil"/>
            </w:tcBorders>
            <w:vAlign w:val="center"/>
          </w:tcPr>
          <w:p w14:paraId="50FA0102">
            <w:pPr>
              <w:spacing w:line="240" w:lineRule="exact"/>
              <w:rPr>
                <w:rFonts w:hint="eastAsia" w:ascii="仿宋" w:hAnsi="仿宋" w:eastAsia="仿宋"/>
                <w:color w:val="000000"/>
                <w:sz w:val="21"/>
                <w:szCs w:val="21"/>
              </w:rPr>
            </w:pPr>
            <w:r>
              <w:rPr>
                <w:rFonts w:hint="eastAsia" w:ascii="楷体" w:hAnsi="楷体" w:eastAsia="楷体" w:cs="楷体"/>
                <w:b/>
                <w:bCs/>
                <w:color w:val="000000"/>
                <w:sz w:val="21"/>
                <w:szCs w:val="21"/>
                <w:lang w:val="en-US" w:eastAsia="zh-CN"/>
              </w:rPr>
              <w:t>全网总传播量（万）</w:t>
            </w:r>
          </w:p>
        </w:tc>
        <w:tc>
          <w:tcPr>
            <w:tcW w:w="1532" w:type="dxa"/>
            <w:tcBorders>
              <w:tl2br w:val="nil"/>
              <w:tr2bl w:val="nil"/>
            </w:tcBorders>
            <w:vAlign w:val="center"/>
          </w:tcPr>
          <w:p w14:paraId="03DD5D6F">
            <w:pPr>
              <w:spacing w:line="240" w:lineRule="exact"/>
              <w:rPr>
                <w:rFonts w:hint="eastAsia" w:ascii="仿宋" w:hAnsi="仿宋" w:eastAsia="仿宋"/>
                <w:color w:val="000000"/>
                <w:sz w:val="21"/>
                <w:szCs w:val="21"/>
              </w:rPr>
            </w:pPr>
          </w:p>
        </w:tc>
      </w:tr>
      <w:tr w14:paraId="06510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0" w:hRule="exact"/>
        </w:trPr>
        <w:tc>
          <w:tcPr>
            <w:tcW w:w="992" w:type="dxa"/>
            <w:tcBorders>
              <w:tl2br w:val="nil"/>
              <w:tr2bl w:val="nil"/>
            </w:tcBorders>
            <w:vAlign w:val="center"/>
          </w:tcPr>
          <w:p w14:paraId="7C530D91">
            <w:pPr>
              <w:widowControl w:val="0"/>
              <w:spacing w:line="320" w:lineRule="exact"/>
              <w:jc w:val="center"/>
              <w:rPr>
                <w:rFonts w:ascii="华文中宋" w:hAnsi="华文中宋" w:eastAsia="华文中宋"/>
                <w:sz w:val="28"/>
              </w:rPr>
            </w:pPr>
            <w:r>
              <w:rPr>
                <w:rFonts w:hint="eastAsia" w:ascii="华文中宋" w:hAnsi="华文中宋" w:eastAsia="华文中宋"/>
                <w:sz w:val="28"/>
              </w:rPr>
              <w:t xml:space="preserve">  ︵</w:t>
            </w:r>
          </w:p>
          <w:p w14:paraId="2AF5CE53">
            <w:pPr>
              <w:widowControl w:val="0"/>
              <w:spacing w:line="320" w:lineRule="exact"/>
              <w:jc w:val="center"/>
              <w:rPr>
                <w:rFonts w:hint="eastAsia" w:ascii="华文中宋" w:hAnsi="华文中宋" w:eastAsia="华文中宋"/>
                <w:sz w:val="28"/>
              </w:rPr>
            </w:pPr>
            <w:r>
              <w:rPr>
                <w:rFonts w:hint="eastAsia" w:ascii="华文中宋" w:hAnsi="华文中宋" w:eastAsia="华文中宋"/>
                <w:sz w:val="28"/>
              </w:rPr>
              <w:t>初推</w:t>
            </w:r>
          </w:p>
          <w:p w14:paraId="70360EC6">
            <w:pPr>
              <w:widowControl w:val="0"/>
              <w:spacing w:line="320" w:lineRule="exact"/>
              <w:jc w:val="center"/>
              <w:rPr>
                <w:rFonts w:hint="eastAsia" w:ascii="华文中宋" w:hAnsi="华文中宋" w:eastAsia="华文中宋"/>
                <w:sz w:val="28"/>
              </w:rPr>
            </w:pPr>
            <w:r>
              <w:rPr>
                <w:rFonts w:hint="eastAsia" w:ascii="华文中宋" w:hAnsi="华文中宋" w:eastAsia="华文中宋"/>
                <w:sz w:val="28"/>
              </w:rPr>
              <w:t>评荐</w:t>
            </w:r>
          </w:p>
          <w:p w14:paraId="25BBAAD6">
            <w:pPr>
              <w:widowControl w:val="0"/>
              <w:spacing w:line="320" w:lineRule="exact"/>
              <w:jc w:val="center"/>
              <w:rPr>
                <w:rFonts w:hint="eastAsia" w:ascii="华文中宋" w:hAnsi="华文中宋" w:eastAsia="华文中宋"/>
                <w:sz w:val="28"/>
              </w:rPr>
            </w:pPr>
            <w:r>
              <w:rPr>
                <w:rFonts w:hint="eastAsia" w:ascii="华文中宋" w:hAnsi="华文中宋" w:eastAsia="华文中宋"/>
                <w:sz w:val="28"/>
              </w:rPr>
              <w:t>评理</w:t>
            </w:r>
          </w:p>
          <w:p w14:paraId="1F394BD1">
            <w:pPr>
              <w:widowControl w:val="0"/>
              <w:spacing w:line="320" w:lineRule="exact"/>
              <w:jc w:val="center"/>
              <w:rPr>
                <w:rFonts w:hint="eastAsia" w:ascii="华文中宋" w:hAnsi="华文中宋" w:eastAsia="华文中宋"/>
                <w:sz w:val="28"/>
              </w:rPr>
            </w:pPr>
            <w:r>
              <w:rPr>
                <w:rFonts w:hint="eastAsia" w:ascii="华文中宋" w:hAnsi="华文中宋" w:eastAsia="华文中宋"/>
                <w:sz w:val="28"/>
              </w:rPr>
              <w:t>语由</w:t>
            </w:r>
          </w:p>
          <w:p w14:paraId="1BE3FC92">
            <w:pPr>
              <w:spacing w:line="240" w:lineRule="exact"/>
              <w:jc w:val="center"/>
              <w:rPr>
                <w:rFonts w:hint="default" w:ascii="华文中宋" w:hAnsi="华文中宋" w:eastAsia="华文中宋"/>
                <w:color w:val="000000"/>
                <w:sz w:val="28"/>
                <w:lang w:val="en-US" w:eastAsia="zh-CN"/>
              </w:rPr>
            </w:pPr>
            <w:r>
              <w:rPr>
                <w:rFonts w:hint="eastAsia" w:ascii="华文中宋" w:hAnsi="华文中宋" w:eastAsia="华文中宋"/>
                <w:sz w:val="28"/>
                <w:lang w:val="en-US" w:eastAsia="zh-CN"/>
              </w:rPr>
              <w:t xml:space="preserve">  </w:t>
            </w:r>
            <w:r>
              <w:rPr>
                <w:rFonts w:hint="eastAsia" w:ascii="华文中宋" w:hAnsi="华文中宋" w:eastAsia="华文中宋"/>
                <w:sz w:val="28"/>
              </w:rPr>
              <w:t>︶</w:t>
            </w:r>
          </w:p>
        </w:tc>
        <w:tc>
          <w:tcPr>
            <w:tcW w:w="8821" w:type="dxa"/>
            <w:gridSpan w:val="9"/>
            <w:tcBorders>
              <w:tl2br w:val="nil"/>
              <w:tr2bl w:val="nil"/>
            </w:tcBorders>
            <w:vAlign w:val="center"/>
          </w:tcPr>
          <w:p w14:paraId="472023D8">
            <w:pPr>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该文是融媒体背景下新闻评论业务研究的精品力作，视野开阔、立论扎实、论证严谨、导向鲜明，兼具理论高度、实践深度与行业针对性，对新时代主流媒体舆论引导能力建设具有重要参考价值。</w:t>
            </w:r>
          </w:p>
          <w:p w14:paraId="346DB8FC">
            <w:pPr>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研究视野上，紧扣媒体融合与舆论生态变革</w:t>
            </w:r>
            <w:r>
              <w:rPr>
                <w:rFonts w:hint="eastAsia" w:ascii="仿宋" w:hAnsi="仿宋" w:eastAsia="仿宋" w:cs="仿宋"/>
                <w:color w:val="000000"/>
                <w:sz w:val="21"/>
                <w:szCs w:val="21"/>
                <w:lang w:val="en-US" w:eastAsia="zh-CN"/>
              </w:rPr>
              <w:t>趋势</w:t>
            </w:r>
            <w:r>
              <w:rPr>
                <w:rFonts w:hint="eastAsia" w:ascii="仿宋" w:hAnsi="仿宋" w:eastAsia="仿宋" w:cs="仿宋"/>
                <w:color w:val="000000"/>
                <w:sz w:val="21"/>
                <w:szCs w:val="21"/>
              </w:rPr>
              <w:t>，精准捕捉主流媒体评论“失语、失力、表达老化”等痛点，将传播理论、舆论规律与一线实务深度融合，问题意识强烈、现实指向明确。</w:t>
            </w:r>
          </w:p>
          <w:p w14:paraId="67D2292B">
            <w:pPr>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思想内涵上，以平视、平实、谦抑性</w:t>
            </w:r>
            <w:r>
              <w:rPr>
                <w:rFonts w:hint="eastAsia" w:ascii="仿宋" w:hAnsi="仿宋" w:eastAsia="仿宋" w:cs="仿宋"/>
                <w:color w:val="000000"/>
                <w:sz w:val="21"/>
                <w:szCs w:val="21"/>
                <w:lang w:val="en-US" w:eastAsia="zh-CN"/>
              </w:rPr>
              <w:t>构建</w:t>
            </w:r>
            <w:r>
              <w:rPr>
                <w:rFonts w:hint="eastAsia" w:ascii="仿宋" w:hAnsi="仿宋" w:eastAsia="仿宋" w:cs="仿宋"/>
                <w:color w:val="000000"/>
                <w:sz w:val="21"/>
                <w:szCs w:val="21"/>
              </w:rPr>
              <w:t>评论写作</w:t>
            </w:r>
            <w:r>
              <w:rPr>
                <w:rFonts w:hint="eastAsia" w:ascii="仿宋" w:hAnsi="仿宋" w:eastAsia="仿宋" w:cs="仿宋"/>
                <w:color w:val="000000"/>
                <w:sz w:val="21"/>
                <w:szCs w:val="21"/>
                <w:lang w:val="en-US" w:eastAsia="zh-CN"/>
              </w:rPr>
              <w:t>的研究框架</w:t>
            </w:r>
            <w:r>
              <w:rPr>
                <w:rFonts w:hint="eastAsia" w:ascii="仿宋" w:hAnsi="仿宋" w:eastAsia="仿宋" w:cs="仿宋"/>
                <w:color w:val="000000"/>
                <w:sz w:val="21"/>
                <w:szCs w:val="21"/>
              </w:rPr>
              <w:t>，倡导平等</w:t>
            </w:r>
            <w:r>
              <w:rPr>
                <w:rFonts w:hint="eastAsia" w:ascii="仿宋" w:hAnsi="仿宋" w:eastAsia="仿宋" w:cs="仿宋"/>
                <w:color w:val="000000"/>
                <w:sz w:val="21"/>
                <w:szCs w:val="21"/>
                <w:lang w:val="en-US" w:eastAsia="zh-CN"/>
              </w:rPr>
              <w:t>姿态</w:t>
            </w:r>
            <w:r>
              <w:rPr>
                <w:rFonts w:hint="eastAsia" w:ascii="仿宋" w:hAnsi="仿宋" w:eastAsia="仿宋" w:cs="仿宋"/>
                <w:color w:val="000000"/>
                <w:sz w:val="21"/>
                <w:szCs w:val="21"/>
              </w:rPr>
              <w:t>、真诚说理、理性克制，摒弃说教式、居高临下的传统表达，契合当代受众接受心理，彰显马克思主义新闻观的实践要求。</w:t>
            </w:r>
          </w:p>
          <w:p w14:paraId="599C260D">
            <w:pPr>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学术价值上，框架清晰、逻辑严密，以大量获奖评论与热点实务案例支撑观点，理论提炼与经验总结并重，填补融媒体评论表达策略研究的相关空白，对新闻业务创新具有较强指导与借鉴意义。</w:t>
            </w:r>
          </w:p>
          <w:p w14:paraId="6E6A1A89">
            <w:pPr>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实践成效上，研究成果可直接用于媒体评论采编与人才培养，推动文风改进与话语创新，助力主流舆论入脑入心。</w:t>
            </w:r>
          </w:p>
          <w:p w14:paraId="0BDD92CC">
            <w:pPr>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该研究</w:t>
            </w:r>
            <w:r>
              <w:rPr>
                <w:rFonts w:hint="eastAsia" w:ascii="仿宋" w:hAnsi="仿宋" w:eastAsia="仿宋" w:cs="仿宋"/>
                <w:color w:val="000000"/>
                <w:sz w:val="21"/>
                <w:szCs w:val="21"/>
              </w:rPr>
              <w:t>坚守正确政治方向、舆论导向与价值取向，立足基层实践、贴近群众需求、遵循传播规律，充分体现新闻工作者脚力、眼力、脑力、笔力的专业追求，对提升主流媒体舆论引导水平、巩固壮大主流思想舆论具有重要推动作用。</w:t>
            </w:r>
          </w:p>
          <w:p w14:paraId="31875D0E">
            <w:pPr>
              <w:ind w:firstLine="552" w:firstLineChars="200"/>
              <w:rPr>
                <w:rFonts w:hint="eastAsia" w:ascii="华文中宋" w:hAnsi="华文中宋" w:eastAsia="华文中宋"/>
                <w:color w:val="000000"/>
                <w:spacing w:val="-2"/>
                <w:sz w:val="28"/>
              </w:rPr>
            </w:pPr>
            <w:r>
              <w:rPr>
                <w:rFonts w:hint="eastAsia" w:ascii="华文中宋" w:hAnsi="华文中宋" w:eastAsia="华文中宋"/>
                <w:color w:val="000000"/>
                <w:spacing w:val="-2"/>
                <w:sz w:val="28"/>
              </w:rPr>
              <w:t xml:space="preserve">                      </w:t>
            </w:r>
          </w:p>
          <w:p w14:paraId="3109BF00">
            <w:pPr>
              <w:spacing w:line="360" w:lineRule="exact"/>
              <w:rPr>
                <w:rFonts w:hint="eastAsia" w:ascii="华文中宋" w:hAnsi="华文中宋" w:eastAsia="华文中宋"/>
                <w:color w:val="000000"/>
                <w:sz w:val="28"/>
              </w:rPr>
            </w:pPr>
            <w:r>
              <w:rPr>
                <w:rFonts w:hint="eastAsia" w:ascii="华文中宋" w:hAnsi="华文中宋" w:eastAsia="华文中宋"/>
                <w:color w:val="000000"/>
                <w:spacing w:val="-2"/>
                <w:sz w:val="28"/>
              </w:rPr>
              <w:t xml:space="preserve">                           签名</w:t>
            </w:r>
            <w:r>
              <w:rPr>
                <w:rFonts w:hint="eastAsia" w:ascii="华文中宋" w:hAnsi="华文中宋" w:eastAsia="华文中宋"/>
                <w:color w:val="000000"/>
                <w:sz w:val="28"/>
              </w:rPr>
              <w:t>（盖单位公章）</w:t>
            </w:r>
            <w:r>
              <w:rPr>
                <w:rFonts w:hint="eastAsia" w:ascii="华文中宋" w:hAnsi="华文中宋" w:eastAsia="华文中宋"/>
                <w:color w:val="000000"/>
                <w:spacing w:val="-2"/>
                <w:sz w:val="28"/>
              </w:rPr>
              <w:t>：</w:t>
            </w:r>
          </w:p>
          <w:p w14:paraId="5DF11F77">
            <w:pPr>
              <w:rPr>
                <w:rFonts w:hint="eastAsia" w:ascii="仿宋" w:hAnsi="仿宋" w:eastAsia="仿宋"/>
                <w:color w:val="000000"/>
                <w:szCs w:val="21"/>
              </w:rPr>
            </w:pPr>
            <w:r>
              <w:rPr>
                <w:rFonts w:hint="eastAsia" w:ascii="方正仿宋_GB2312"/>
                <w:color w:val="000000"/>
                <w:sz w:val="28"/>
              </w:rPr>
              <w:t xml:space="preserve">                                              </w:t>
            </w:r>
            <w:r>
              <w:rPr>
                <w:rFonts w:ascii="华文中宋" w:hAnsi="华文中宋" w:eastAsia="华文中宋"/>
                <w:color w:val="000000"/>
                <w:sz w:val="28"/>
              </w:rPr>
              <w:t xml:space="preserve">年  </w:t>
            </w:r>
            <w:r>
              <w:rPr>
                <w:rFonts w:hint="eastAsia" w:ascii="华文中宋" w:hAnsi="华文中宋" w:eastAsia="华文中宋"/>
                <w:color w:val="000000"/>
                <w:sz w:val="28"/>
              </w:rPr>
              <w:t>月</w:t>
            </w:r>
            <w:r>
              <w:rPr>
                <w:rFonts w:ascii="华文中宋" w:hAnsi="华文中宋" w:eastAsia="华文中宋"/>
                <w:color w:val="000000"/>
                <w:sz w:val="28"/>
              </w:rPr>
              <w:t xml:space="preserve">  </w:t>
            </w:r>
            <w:r>
              <w:rPr>
                <w:rFonts w:hint="eastAsia" w:ascii="华文中宋" w:hAnsi="华文中宋" w:eastAsia="华文中宋"/>
                <w:color w:val="000000"/>
                <w:sz w:val="28"/>
              </w:rPr>
              <w:t>日</w:t>
            </w:r>
          </w:p>
        </w:tc>
      </w:tr>
    </w:tbl>
    <w:p w14:paraId="30942D31">
      <w:pPr>
        <w:rPr>
          <w:rFonts w:hint="eastAsia"/>
        </w:rPr>
      </w:pPr>
    </w:p>
    <w:p w14:paraId="0951448F">
      <w:pPr>
        <w:rPr>
          <w:rFonts w:hint="eastAsia"/>
        </w:rPr>
      </w:pPr>
    </w:p>
    <w:p w14:paraId="596E22A4">
      <w:pPr>
        <w:rPr>
          <w:rFonts w:hint="eastAsia"/>
        </w:rPr>
      </w:pPr>
    </w:p>
    <w:p w14:paraId="7B1E37DF">
      <w:pPr>
        <w:rPr>
          <w:rFonts w:hint="eastAsia"/>
        </w:rPr>
      </w:pPr>
    </w:p>
    <w:p w14:paraId="038F022E">
      <w:pPr>
        <w:rPr>
          <w:rFonts w:hint="eastAsia"/>
        </w:rPr>
      </w:pPr>
    </w:p>
    <w:p w14:paraId="20590841">
      <w:pPr>
        <w:rPr>
          <w:rFonts w:hint="eastAsia"/>
        </w:rPr>
      </w:pPr>
    </w:p>
    <w:p w14:paraId="0704F2C7">
      <w:pPr>
        <w:rPr>
          <w:rFonts w:hint="eastAsia"/>
        </w:rPr>
      </w:pPr>
    </w:p>
    <w:p w14:paraId="093D5E9B">
      <w:pPr>
        <w:rPr>
          <w:rFonts w:hint="eastAsia"/>
        </w:rPr>
      </w:pPr>
    </w:p>
    <w:p w14:paraId="16F353ED">
      <w:pPr>
        <w:rPr>
          <w:rFonts w:hint="eastAsia"/>
        </w:rPr>
      </w:pPr>
    </w:p>
    <w:p w14:paraId="589FA3BD">
      <w:pPr>
        <w:rPr>
          <w:rFonts w:hint="eastAsia"/>
        </w:rPr>
      </w:pPr>
    </w:p>
    <w:p w14:paraId="070C5268">
      <w:pPr>
        <w:rPr>
          <w:rFonts w:hint="eastAsia"/>
        </w:rPr>
      </w:pPr>
    </w:p>
    <w:p w14:paraId="6FA5FAE1">
      <w:pPr>
        <w:rPr>
          <w:rFonts w:hint="eastAsia" w:ascii="华文中宋" w:hAnsi="华文中宋" w:eastAsia="华文中宋" w:cs="华文中宋"/>
          <w:sz w:val="28"/>
          <w:szCs w:val="28"/>
          <w:lang w:eastAsia="zh-CN"/>
        </w:rPr>
      </w:pPr>
      <w:r>
        <w:rPr>
          <w:rFonts w:hint="eastAsia" w:ascii="华文中宋" w:hAnsi="华文中宋" w:eastAsia="华文中宋" w:cs="华文中宋"/>
          <w:sz w:val="28"/>
          <w:szCs w:val="28"/>
          <w:lang w:eastAsia="zh-CN"/>
        </w:rPr>
        <w:t>文字稿</w:t>
      </w:r>
    </w:p>
    <w:p w14:paraId="633D3BB5">
      <w:pPr>
        <w:jc w:val="center"/>
        <w:rPr>
          <w:rFonts w:hint="eastAsia" w:ascii="华文中宋" w:hAnsi="华文中宋" w:eastAsia="华文中宋" w:cs="华文中宋"/>
          <w:b/>
          <w:bCs/>
          <w:sz w:val="28"/>
          <w:szCs w:val="28"/>
        </w:rPr>
      </w:pPr>
      <w:r>
        <w:rPr>
          <w:rFonts w:hint="eastAsia" w:ascii="华文中宋" w:hAnsi="华文中宋" w:eastAsia="华文中宋" w:cs="华文中宋"/>
          <w:b/>
          <w:bCs/>
          <w:sz w:val="28"/>
          <w:szCs w:val="28"/>
        </w:rPr>
        <w:t>平视、平实与谦抑性：新闻评论增强穿透力的姿态</w:t>
      </w:r>
    </w:p>
    <w:p w14:paraId="263DE0F8">
      <w:pPr>
        <w:jc w:val="center"/>
        <w:rPr>
          <w:rFonts w:hint="eastAsia" w:ascii="华文中宋" w:hAnsi="华文中宋" w:eastAsia="华文中宋" w:cs="华文中宋"/>
          <w:sz w:val="28"/>
          <w:szCs w:val="28"/>
          <w:lang w:val="en-US" w:eastAsia="zh-CN"/>
        </w:rPr>
      </w:pPr>
      <w:r>
        <w:rPr>
          <w:rFonts w:hint="eastAsia" w:ascii="华文中宋" w:hAnsi="华文中宋" w:eastAsia="华文中宋" w:cs="华文中宋"/>
          <w:sz w:val="28"/>
          <w:szCs w:val="28"/>
          <w:lang w:val="en-US" w:eastAsia="zh-CN"/>
        </w:rPr>
        <w:t>吴迪</w:t>
      </w:r>
    </w:p>
    <w:p w14:paraId="2EACC7E9">
      <w:pPr>
        <w:rPr>
          <w:rFonts w:hint="eastAsia" w:asciiTheme="minorEastAsia" w:hAnsiTheme="minorEastAsia" w:eastAsiaTheme="minorEastAsia" w:cstheme="minorEastAsia"/>
          <w:sz w:val="28"/>
          <w:szCs w:val="28"/>
        </w:rPr>
      </w:pPr>
    </w:p>
    <w:p w14:paraId="722199F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互联网环境下，受众获取资讯的途径越来越多元，注意力被分散，进入浅阅读、碎片化阅读时代。一个不可避免的现实是，主流媒体新闻产品的厚重感、权威性受到冲击，受众常将“自我思考”作为一把标尺，评价新闻评论“对不对”“好不好”；除了信息本身外，很大程度上还在于评论的表达之于受众是否“对胃”和“对味”。</w:t>
      </w:r>
    </w:p>
    <w:p w14:paraId="332E4B2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p>
    <w:p w14:paraId="42820B6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主流媒体从不缺少优质内容，但“老式”表达显然会限制优质内容的传播力和影响力。如何增强主流媒体新闻评论的表达穿透力，在“人人皆可成为自媒体”和融媒体时代背景下，是一个重要课题。</w:t>
      </w:r>
    </w:p>
    <w:p w14:paraId="0C3CD52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p>
    <w:p w14:paraId="578E7A3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一</w:t>
      </w:r>
      <w:r>
        <w:rPr>
          <w:rFonts w:hint="eastAsia" w:asciiTheme="minorEastAsia" w:hAnsiTheme="minorEastAsia" w:cstheme="minorEastAsia"/>
          <w:b/>
          <w:bCs/>
          <w:sz w:val="28"/>
          <w:szCs w:val="28"/>
          <w:lang w:val="en-US" w:eastAsia="zh-CN"/>
        </w:rPr>
        <w:t xml:space="preserve"> </w:t>
      </w:r>
      <w:r>
        <w:rPr>
          <w:rFonts w:hint="eastAsia" w:asciiTheme="minorEastAsia" w:hAnsiTheme="minorEastAsia" w:eastAsiaTheme="minorEastAsia" w:cstheme="minorEastAsia"/>
          <w:b/>
          <w:bCs/>
          <w:sz w:val="28"/>
          <w:szCs w:val="28"/>
        </w:rPr>
        <w:t>平视——一种基于尊重的对话姿态</w:t>
      </w:r>
    </w:p>
    <w:p w14:paraId="7CBC193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p>
    <w:p w14:paraId="05F929E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互联网技术的快速发展，从根本上改变了新闻传播过程中的传受关系，每个人都可以成为信息的传播者，这在一定程度上扩大了新闻传播主体范围[1]。当新闻主体之间的平等性和多元性特征越来越明显，传统媒体在舆论引导时就可能面临失语、失力等问题——“你谁呀？”“凭什么听你的？”主流媒体要维持和强化自身表达力与影响力，就必然需要做出反思与探索。</w:t>
      </w:r>
    </w:p>
    <w:p w14:paraId="7E1B0A4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p>
    <w:p w14:paraId="313400BB">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（一）身份认同：“你我皆凡人”</w:t>
      </w:r>
    </w:p>
    <w:p w14:paraId="7ED0B65C">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rPr>
      </w:pPr>
    </w:p>
    <w:p w14:paraId="05734C3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拉近与受众之间的亲密度，不仅仅是心理上的距离，还包括姿态上的距离。前者侧重文字表达的“人话”含量，避免让受众觉得与媒体之间隔山望海。后者强调的是媒体的“人格”，要放低姿态，与受众平视。</w:t>
      </w:r>
    </w:p>
    <w:p w14:paraId="25784DB5">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rPr>
      </w:pPr>
    </w:p>
    <w:p w14:paraId="43A5684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2022年初，“合肥一公司迟到一次扣1000元”的话题冲上相关平台热搜榜，说的是安徽一家企业员工在离职结算工资时，因3次迟到被扣3000元。工人日报发表评论《不能放任企业“霸王”式管理侵害职工权益》，指出企业在滥用管理职权和规章制度，甚至把处罚员工当成了创收或节约成本的一种手段，“这是一条侵害员工权益、断送企业前程的歧路”。全文较少使用法言法语，更多以公众视角进行评论，如“在制定时与员工协商了吗？员工了解、认可这一规定吗？”让受众对“媒体站在了劳动者立场”产生更多认同。</w:t>
      </w:r>
    </w:p>
    <w:p w14:paraId="0AE0D178">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rPr>
      </w:pPr>
    </w:p>
    <w:p w14:paraId="799DF76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获得第33届中国新闻奖的光明日报评论《致奋斗的你我》，写于党的二十大召开前夕。如何把波澜壮阔的国家发展脉搏写得灵动、耐读，如何引导青年群体正确认识奋斗对中华民族昨天、今天和明天的意义，这在自媒体时代语境下是一个巨大考验。这篇文章纵深勾探中国近代以来的屈辱史和人民抗争史、党带领人民开创伟业的奋斗史，标题中“你我”二字与青年群体产生联结，让青年知觉“我们是同路的奋斗者”，读来激情昂扬。</w:t>
      </w:r>
    </w:p>
    <w:p w14:paraId="51705621">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rPr>
      </w:pPr>
    </w:p>
    <w:p w14:paraId="740678B5">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（二）身份转换：以彼之思抒彼之意</w:t>
      </w:r>
    </w:p>
    <w:p w14:paraId="5535C372">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rPr>
      </w:pPr>
    </w:p>
    <w:p w14:paraId="520C79B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有关研究表明，受众在接触大众传播信息时并不是不加选择的，而是更愿意接触那些与自己既有立场和态度一致或接近的内容，而对与其对立或冲突的内容常体现出一种回避的倾向。面对这种挑战，“从群众中来，到群众中去”的理念是新闻评论与受众共情的重要前提。</w:t>
      </w:r>
    </w:p>
    <w:p w14:paraId="3120AC90">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rPr>
      </w:pPr>
    </w:p>
    <w:p w14:paraId="2EA0ED7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2024年9月，某奶茶店内多名员工被挂“我有罪”牌子的视频广泛传播，随后涉事品牌道歉：“对不起，我们玩梗翻车了。”工人日报发表融媒评论《员工“绑手挂牌谢罪”？一句创意玩梗说不过去》，指出一件小事戳中了两个痛点：一是一些劳动者的权利与尊严会以某种人们意想不到的方式受到损害；二是有的广告营销以突破道德或法律边界为“创新”。这两个问题不是小概率、小范围的现象，公众对此极为反感。这篇评论以公共态度为底色，用口语化表达凝聚认同，发表当日获得近20万点击量。</w:t>
      </w:r>
    </w:p>
    <w:p w14:paraId="181A2231">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rPr>
      </w:pPr>
    </w:p>
    <w:p w14:paraId="3A657E7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人脸识别”到了普遍推开的时候了吗？市面上比比皆是的那些强制要求采集人脸信息的场景，真的都有必要吗？它合乎公共利益吗？关于人脸识别，这几个问题几乎是每个人的困扰。2021年1月，解放日报社上观新闻发表评论《到处人脸识别，有必要吗？》，剖析了“发展”和“边界”的关系，文章娓娓道来，理性清醒，既敢言也善言，被网民评价为“最佳嘴替”，可谓站对站稳了群众立场。</w:t>
      </w:r>
    </w:p>
    <w:p w14:paraId="7AF95C2E">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rPr>
      </w:pPr>
    </w:p>
    <w:p w14:paraId="5F1A8B4A">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（三）评论“年轻态”，天然的亲和力</w:t>
      </w:r>
    </w:p>
    <w:p w14:paraId="6821EB92">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rPr>
      </w:pPr>
    </w:p>
    <w:p w14:paraId="68BB7E5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个时期以来，“颜值即正义”在文娱等很多领域已经形成畸形价值观，导致粉丝对偶像的无脑式追捧行为。获得第32届中国新闻奖的光明日报评论《三观岂能跟着五官走》，一针见血地指出，“颜值即正义”背后是不良倾向下价值理念的跑偏，倡导“少谈一点颜值，多谈一点文化；少做一些伪流量，多传播一些正能量”。该评论标题亮眼，用了时下流行的“谐音梗”和押韵、拟人修辞等手法，这种言简意赅又颇有趣味的选题，准确把握了时度效，引发舆论热议。</w:t>
      </w:r>
    </w:p>
    <w:p w14:paraId="1EBEA4B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p>
    <w:p w14:paraId="174A6BC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很多人看来，评论文章多数时候像板着面孔的教书先生，在亲和力上“先天不足”。改变评论的面貌，是适应互联网时代传播特征的内在要求。这里包括两方面：一是形式创新，如海报、H5、视频、漫评等多样化形式运用；二是在理念上要有年轻自觉。2024年，“爆改工位”的职场话题一度冲上热搜，南方工报发表评论《“爆改工位”掀开“工作美学”一角》，从选题到标题，从角度到深度和广度，都满足了既要有传统评论的深邃厚重、也要有“力图好读”的表达创新的要求。这启发我们，除了善于讲故事讲经典，使用类比推导、引用影视或书籍片段外，还要活学活用“后浪”“开挂”“段位”等网络热词、年度热词、热搜词条，以网感带语感。</w:t>
      </w:r>
    </w:p>
    <w:p w14:paraId="6218AA9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p>
    <w:p w14:paraId="5B3E710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二</w:t>
      </w:r>
      <w:r>
        <w:rPr>
          <w:rFonts w:hint="eastAsia" w:asciiTheme="minorEastAsia" w:hAnsiTheme="minorEastAsia" w:cstheme="minorEastAsia"/>
          <w:b/>
          <w:bCs/>
          <w:sz w:val="28"/>
          <w:szCs w:val="28"/>
          <w:lang w:val="en-US" w:eastAsia="zh-CN"/>
        </w:rPr>
        <w:t xml:space="preserve"> </w:t>
      </w:r>
      <w:r>
        <w:rPr>
          <w:rFonts w:hint="eastAsia" w:asciiTheme="minorEastAsia" w:hAnsiTheme="minorEastAsia" w:eastAsiaTheme="minorEastAsia" w:cstheme="minorEastAsia"/>
          <w:b/>
          <w:bCs/>
          <w:sz w:val="28"/>
          <w:szCs w:val="28"/>
        </w:rPr>
        <w:t>平实——促膝而谈的亲密感和真诚感</w:t>
      </w:r>
    </w:p>
    <w:p w14:paraId="30E9353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p>
    <w:p w14:paraId="7C28135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在现代社会中，作为社会主体的人与外界产生紧密联系，并形成各类社会关系，关系成为社会运行的重要元素之一，同时它是基于个人意愿、情感或利益形成的平等互动模式 [2]。某种程度上，新闻评论是一个对话的载体，即主流观点与受众之间的纽带。当越来越多网民习惯于在社交平台参与对公共事务的评判时，主流媒体新闻评论的语言如何承载观点、如何以令人舒适的方式“输出”，是必须面对的思考题。</w:t>
      </w:r>
    </w:p>
    <w:p w14:paraId="544493B0">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rPr>
      </w:pPr>
    </w:p>
    <w:p w14:paraId="0DD4827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说大白话，是近年来一些获奖评论或阅读量较高的评论的共同特征，通俗易懂的文字激荡出更强大、更震撼人心的力量。</w:t>
      </w:r>
    </w:p>
    <w:p w14:paraId="590F4E36">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rPr>
      </w:pPr>
    </w:p>
    <w:p w14:paraId="00ABCC55">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（一）返璞归真：简洁文字的魅力</w:t>
      </w:r>
    </w:p>
    <w:p w14:paraId="31F397FD">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rPr>
      </w:pPr>
    </w:p>
    <w:p w14:paraId="3411F91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论作为观点的阵地，是作者思想的具体体现，常带有极强的个人风格色彩，这在很大程度上影响着受众对作品的“完读率”或“完播率”。评论不该陷入“谁写谁看”“写谁谁看”的泥潭，要在文字的处理上力求清爽、简短并富有节奏感。</w:t>
      </w:r>
    </w:p>
    <w:p w14:paraId="40F6DC2A">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rPr>
      </w:pPr>
    </w:p>
    <w:p w14:paraId="5EC6E24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2022年5月，“专家称买房比租房划算”等多个话题引爆网络，“建议专家不要建议”的话题两度冲上热搜。网民的态度明确：说得不好，下次别说了！获得第33届中国新闻奖的工人日报融媒评论《“建议专家不要建议”，是希望专家好好说话》，以通篇大白话的表达说出公众的心声“希望专家能好好说话”。这篇评论赢得广大网民认同与共鸣，起到了化解困惑、缓解焦虑、弥合对立的舆论引导作用。</w:t>
      </w:r>
    </w:p>
    <w:p w14:paraId="0FEFBE42">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rPr>
      </w:pPr>
    </w:p>
    <w:p w14:paraId="5D7EFF5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简洁，以更深层角度看，是见解独到、铺排合理、论述透彻的体现。简洁文字不单是要求文章的字里行间不拖泥带水、不层层包裹、不卖弄文采，还包括文章标题要简洁明快生动，这在中国新闻奖作品中十分常见。比如，南方日报评论《再造一个新广东》，聚焦城乡区域发展不平衡的痛点，开篇就是自曝家丑、自揭短板，进而指出问题、剖析问题，更给出了解题思路。这类写法给了我们“读下去”的兴趣和“读过后”的思考。</w:t>
      </w:r>
    </w:p>
    <w:p w14:paraId="3C668408">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rPr>
      </w:pPr>
    </w:p>
    <w:p w14:paraId="1E0F3D5B">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（二）推心置腹：真诚是永远的“必杀技”</w:t>
      </w:r>
    </w:p>
    <w:p w14:paraId="374789AF">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rPr>
      </w:pPr>
    </w:p>
    <w:p w14:paraId="256E193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2025年4月，一段北京地铁5号线上一男子频繁辱骂邻座务工人员的视频流传网络。工人日报刊发评论《共情劳动者的每个侧面，是一种文明和教养》指出，工地上老师傅手上的茧、电焊工的“迎风流泪眼”，以及诸多劳动者鞋上的泥巴、身上的汗臭……这些平凡劳动者最真实的样貌，是我们的生活图景、城市面貌的一部分，“灰头土脸”是劳动者的无上荣光，共情、尊重劳动者的每一个侧面是人们应有的教养。这篇评论用质朴的语言娓娓道来，描述什么是“文明应有的样子”，刊发后被数十家媒体和网站转载。</w:t>
      </w:r>
    </w:p>
    <w:p w14:paraId="1F99D307">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rPr>
      </w:pPr>
    </w:p>
    <w:p w14:paraId="5260741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主流媒体在不断强化与受众的有效连接过程中，除了要提供有观点、有价值、有温度、有情感的优质内容外，还包括提升“于无声处见惊雷”的文字能力，这也是温度和情感的所在。其中，真诚的表达，满足受众对于情感共鸣、群体归属的需求，至关重要。</w:t>
      </w:r>
    </w:p>
    <w:p w14:paraId="62A53E96">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rPr>
      </w:pPr>
    </w:p>
    <w:p w14:paraId="0BF75D8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身边人的不凡事、暖心事，以及某些令人惊诧的个案、公众“有话说”的新闻，往往能够成为爆款评论的来源，一个重要原因就是媒体少有高谈阔论，而是不疾不徐、克制公正，以质朴的文字与语气赢得广泛的情感共鸣，传递积极向上正能量。比如，工人日报曾推出涉及应急车道阻塞问题的评论《能不能让救护车“一路绿灯”？》，关于实习生权益问题的《争论实习生是否背锅，是在关切事故问责的精准》，涉及公共安全和隐私问题的《18万个摄像头“失控”，公众安全感如何保障？》等，都是抓住了事关多数人这一基础，用“跟每个人相关”的文字直抒胸臆，阅读量均达到数十万。</w:t>
      </w:r>
    </w:p>
    <w:p w14:paraId="05D2EB6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p>
    <w:p w14:paraId="6644D75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p>
    <w:p w14:paraId="09FB5F5F">
      <w:pPr>
        <w:keepNext w:val="0"/>
        <w:keepLines w:val="0"/>
        <w:pageBreakBefore w:val="0"/>
        <w:widowControl w:val="0"/>
        <w:kinsoku/>
        <w:wordWrap/>
        <w:overflowPunct/>
        <w:topLinePunct w:val="0"/>
        <w:autoSpaceDE/>
        <w:autoSpaceDN/>
        <w:bidi w:val="0"/>
        <w:adjustRightInd/>
        <w:snapToGrid/>
        <w:ind w:left="480" w:hanging="562" w:hangingChars="200"/>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三</w:t>
      </w:r>
      <w:r>
        <w:rPr>
          <w:rFonts w:hint="eastAsia" w:asciiTheme="minorEastAsia" w:hAnsiTheme="minorEastAsia" w:cstheme="minorEastAsia"/>
          <w:b/>
          <w:bCs/>
          <w:sz w:val="28"/>
          <w:szCs w:val="28"/>
          <w:lang w:val="en-US" w:eastAsia="zh-CN"/>
        </w:rPr>
        <w:t xml:space="preserve">  </w:t>
      </w:r>
      <w:r>
        <w:rPr>
          <w:rFonts w:hint="eastAsia" w:asciiTheme="minorEastAsia" w:hAnsiTheme="minorEastAsia" w:eastAsiaTheme="minorEastAsia" w:cstheme="minorEastAsia"/>
          <w:b/>
          <w:bCs/>
          <w:sz w:val="28"/>
          <w:szCs w:val="28"/>
        </w:rPr>
        <w:t>谦抑性——以“改文风”为底色的理念与格局</w:t>
      </w:r>
    </w:p>
    <w:p w14:paraId="4452615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p>
    <w:p w14:paraId="6654A19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新闻评论的观点要有锐度，但这并不意味着简单的火力全开。有穿透力的评论，不仅仅在于观点有锋芒，还在于字里行间透出的理念与格局。相比于常见的批评性、指导性言辞，当下受众更倾向于认可谦抑性评论。网络空间有个概念叫“爹味说教”，原指在社交领域中一部分人常以权威、经验之谈等姿态对其他人进行说教，不尊重沟通对象的行为，后来泛化为具有控制欲和“油腻”特征的说教行为。新闻评论作为观点输出的体裁，一旦被视为“说教”，穿透力必然大打折扣。</w:t>
      </w:r>
    </w:p>
    <w:p w14:paraId="7FE83EF9">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rPr>
      </w:pPr>
    </w:p>
    <w:p w14:paraId="3A6B37D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新媒体时代，网络社交平台已经成为网民发表观点的意见广场，点赞、跟评等方式可以令网民之间固化某种观点。在各种观点和想法的碰撞中，主流媒体在引导舆论时常常面临认同感、穿透力不足的窘境。这其中有“你说你的，我想我的”式偏差，也有“又想骗我”式反噬。导致这一现象的重要原因是一些评论的观点和表达方式令受众产生被“站在对面的人”“居高临下的人”指责的感觉，进而作出“对抗”“回避”或“戏谑”的回应。</w:t>
      </w:r>
    </w:p>
    <w:p w14:paraId="5A788DDD">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rPr>
      </w:pPr>
    </w:p>
    <w:p w14:paraId="1539A834">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（一）说教与说理：评论的面孔几何</w:t>
      </w:r>
    </w:p>
    <w:p w14:paraId="4AB4328A">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rPr>
      </w:pPr>
    </w:p>
    <w:p w14:paraId="68FBE56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些媒体的评论文章常常不受待见，网民的评价是“年代感十足”。这与评论的选题、类型、观点和表达都有关系，但更重要的是撰写和编辑评论的理念或多或少存在僵化的问题。犹如一幅画作，创作理念是底色，很大程度上影响着创作走向和风格。</w:t>
      </w:r>
    </w:p>
    <w:p w14:paraId="6AD17E36">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rPr>
      </w:pPr>
    </w:p>
    <w:p w14:paraId="4630836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论应该是严肃的。评论作为观点的体现，要厚重、要有含金量、要经得起时间和历史检验，就必然要求观点、逻辑、结构等要素能够“扛打”，这从根本上决定了我们的观点和论述一丝都马虎不得。与此同时，评论也应该是机灵的、千变万化的。评论的生产过程很重要，生产之后的传播力和影响力同样重要，这就必须从受众特征来反推评论的生产理念和逻辑。</w:t>
      </w:r>
    </w:p>
    <w:p w14:paraId="10E781CB">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rPr>
      </w:pPr>
    </w:p>
    <w:p w14:paraId="0C78FC8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相比于我们看惯的那些从标题到内容再到表达都“板起面孔”的“老式”评论，获得第33届中国新闻奖的中国日报国际传播评论《Wrong signal，wrong place，wrong time》（错误的信号，错误的地点，错误的时间）令人耳目一新。彼时，美国借乌克兰危机话题对我国台湾地区展开一系列勾连动作，导致台海局势骤然紧张。全文仅用422字，梳理美国此前两次对台军售的经过，交代美国政客窜访我国台湾地区的背景，揭露了他们利用乌克兰危机相互勾结、互相利用的真实意图。文章论证有力，立场鲜明，标题新颖有力，超过154家美西方主流媒体转引转载该文章。“浙江宣传”微信公众号推出的《历史不会浓缩于一个晚上》有异曲同工之妙。2022年8月，时任美国众议院议长佩洛西窜访我国台湾地区引发国人愤怒情绪，这篇文章深入浅出、视野宽广，最后指出“时与势在我们手中，祖国实现完全统一的趋势不可阻挡”，很大程度上纾解了公众怒火。</w:t>
      </w:r>
    </w:p>
    <w:p w14:paraId="5233E0F0">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rPr>
      </w:pPr>
    </w:p>
    <w:p w14:paraId="07DDB209">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（二）“去油腻”“去说教化”：评论生产的自觉</w:t>
      </w:r>
    </w:p>
    <w:p w14:paraId="779373B0">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rPr>
      </w:pPr>
    </w:p>
    <w:p w14:paraId="47AEB34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评论的观点、分量、时机等因素在一定程度上可能会约束表达方式，纵然如此，在日常的新闻评论撰写和编辑过程中，我们仍要尽可能避免某些习以为常的通病。</w:t>
      </w:r>
    </w:p>
    <w:p w14:paraId="11E6229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p>
    <w:p w14:paraId="04970F2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较为常见的几类问题：一是“指点江山”型。面对某些热点问题、重大议题，不乏“既要又要还要”式口号，“油腻感”扑面而来。二是“站着说话不腰疼”型。比如“发放育儿补贴只是第一步”“免票人群应进一步扩大”等。不是说这种观点不对，而是时机和立意不合适，有关方面克服诸多困难后出台的相关办法，往往已经是当时那个阶段的最优解，评论重点绝非引导舆论“正在实现A又要A+”。三是“空中楼阁”型。比如动辄建议修改法律，法律的制定、修改有着严密章程，显然不能随随便便。四是“自以为是”型。一方面是观点的推导过程存在问题，新闻事件与作者观点没有因果关系；另一方面是观点偏颇、论述错误，比如针对“儿童替外卖员跑楼赚零花钱事件”，有的评论给予积极评价甚至呼吁更多地方借鉴，但对未成年人的劳务行为是否合法这个基本问题完全没有在意，而这恰恰是最重要的前提。</w:t>
      </w:r>
    </w:p>
    <w:p w14:paraId="1C545B5D">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rPr>
      </w:pPr>
    </w:p>
    <w:p w14:paraId="64FF72A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说人话”，不仅仅是说大家听得懂的话，还包括话中的观点、背景、目的等都要合宜。工人日报新闻评论部在日常编辑稿件过程中，修改幅度通常都比较大，就是为了筛掉上述问题，同时在表达上尽可能朴素、亲和，力求观点有更强的认同感和穿透力。</w:t>
      </w:r>
    </w:p>
    <w:p w14:paraId="6DF82351">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rPr>
      </w:pPr>
    </w:p>
    <w:p w14:paraId="36A6C10F">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（三）写实主义：相信大道至简的理念</w:t>
      </w:r>
    </w:p>
    <w:p w14:paraId="2903876A">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rPr>
      </w:pPr>
    </w:p>
    <w:p w14:paraId="4A165CE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一次专题评论的策划过程中，有同事感慨：“工人日报的特质就像一位穿着工服、散发机油味的师傅，只会闷头干活，不懂风花雪月。”这其实是工人日报评论文章气质的一种体现，写实、实用。实用主义哲学主张以对主体的实用性作为判断准则，试图探索每个观念的实际效果[3]。其中的道理对于评论写作和编辑具有十分重要的借鉴意义。</w:t>
      </w:r>
    </w:p>
    <w:p w14:paraId="10AE3C0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p>
    <w:p w14:paraId="7FCCCA7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互联网时代，平台的算法推荐、偏好引流等技术不断加剧信息茧房效应，导致受众接受的信息趋向单一，甚至面临失衡风险。主流媒体只有让舆论引导与受众的喜闻乐见“双向奔赴”，才能把有价值的观点与大众通俗表达相结合，赋予观点以生命力和传播力。就此而言，媒体写实、受众实用，是值得期待的路径。</w:t>
      </w:r>
    </w:p>
    <w:p w14:paraId="517D6DF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p>
    <w:p w14:paraId="07FCC0C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2024年，“情绪价值”一词在劳动关系领域显得格外突出。一则新闻是，安徽一企业规定，职工婚丧嫁娶、孩子上学等，工会将给予2000元慰问金。另一则新闻是，某地一企业负责人深夜在工作群发消息要求“全面停止调休”并在全员“已读不回”后爆粗口。工人日报接连发表社评《情绪价值也可以成为一种“生产力”》和《员工集体“已读不回”，何尝不是一次“大声量”的回复》，均是站在劳动者视角看发展、站在发展视角回望劳动关系。这两篇文章的表达不饰华丽、实实在在，接地气、有深度，同时引人思考：更有人情味的职场生态，是劳动者之幸，亦是企业之财富。</w:t>
      </w:r>
    </w:p>
    <w:p w14:paraId="074E704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p>
    <w:p w14:paraId="757178F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p>
    <w:p w14:paraId="1C02000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结语</w:t>
      </w:r>
    </w:p>
    <w:p w14:paraId="2C6F182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p>
    <w:p w14:paraId="47BB33C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“人民不是抽象的符号，而是一个个具体的人”[4]。主流媒体的职责与使命在于倾听人民心声、反映人民生活、表达人民思想和情感。</w:t>
      </w:r>
    </w:p>
    <w:p w14:paraId="6B01493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自媒体发展如火如荼的时代，平视、平实与谦抑性，是主流媒体不断增强评论表达穿透力和传播影响力的基本姿态，对进一步密切党同人民群众的联系，关注各类群体的权益、诉求和精神风貌，在舆论场的观点交锋中凝聚更广泛的共识、促进积极向上的社会风尚等方面，意义非凡。“改文风”一直在路上，在未来的评论写作和编辑工作中，我们会持续总结经验教训，探索出更有效、更有价值的策略与方法，让每一次思想的相遇，都能为文明社会碰撞出更多智慧和力量。</w:t>
      </w:r>
    </w:p>
    <w:p w14:paraId="4BB15D3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p>
    <w:p w14:paraId="7CA0E89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（作者系工人日报评论员）</w:t>
      </w:r>
    </w:p>
    <w:p w14:paraId="6FDE4B1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p>
    <w:p w14:paraId="26FF801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p>
    <w:p w14:paraId="41819BE0">
      <w:pPr>
        <w:rPr>
          <w:rFonts w:hint="eastAsia" w:asciiTheme="minorEastAsia" w:hAnsiTheme="minorEastAsia" w:eastAsiaTheme="minorEastAsia" w:cstheme="minorEastAsia"/>
          <w:sz w:val="28"/>
          <w:szCs w:val="28"/>
        </w:rPr>
      </w:pPr>
    </w:p>
    <w:p w14:paraId="31B5FD76">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注释</w:t>
      </w:r>
    </w:p>
    <w:p w14:paraId="6CCD9593">
      <w:pPr>
        <w:rPr>
          <w:rFonts w:hint="eastAsia" w:asciiTheme="minorEastAsia" w:hAnsiTheme="minorEastAsia" w:eastAsiaTheme="minorEastAsia" w:cstheme="minorEastAsia"/>
          <w:sz w:val="28"/>
          <w:szCs w:val="28"/>
        </w:rPr>
      </w:pPr>
    </w:p>
    <w:p w14:paraId="2583F7CD">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[1]李景萍.新媒体环境下新闻宣传的挑战与路径[J].新闻战线，2025(01下):54-56.</w:t>
      </w:r>
    </w:p>
    <w:p w14:paraId="3539665F">
      <w:pPr>
        <w:rPr>
          <w:rFonts w:hint="eastAsia" w:asciiTheme="minorEastAsia" w:hAnsiTheme="minorEastAsia" w:eastAsiaTheme="minorEastAsia" w:cstheme="minorEastAsia"/>
          <w:sz w:val="28"/>
          <w:szCs w:val="28"/>
        </w:rPr>
      </w:pPr>
    </w:p>
    <w:p w14:paraId="11D55CB5">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[2]奂平清.理论自觉的“关系”研究与社会建设[J].中国特色社会主义研究，2018(02):59-66,76.</w:t>
      </w:r>
    </w:p>
    <w:p w14:paraId="2B39D8B5">
      <w:pPr>
        <w:rPr>
          <w:rFonts w:hint="eastAsia" w:asciiTheme="minorEastAsia" w:hAnsiTheme="minorEastAsia" w:eastAsiaTheme="minorEastAsia" w:cstheme="minorEastAsia"/>
          <w:sz w:val="28"/>
          <w:szCs w:val="28"/>
        </w:rPr>
      </w:pPr>
    </w:p>
    <w:p w14:paraId="7342F6D6">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[3]章清.实用主义哲学与近代中国启蒙运动[J].复旦学报（社会科学版），1988(05):75-84.</w:t>
      </w:r>
    </w:p>
    <w:p w14:paraId="3229F663">
      <w:pPr>
        <w:rPr>
          <w:rFonts w:hint="eastAsia" w:asciiTheme="minorEastAsia" w:hAnsiTheme="minorEastAsia" w:eastAsiaTheme="minorEastAsia" w:cstheme="minorEastAsia"/>
          <w:sz w:val="28"/>
          <w:szCs w:val="28"/>
        </w:rPr>
      </w:pPr>
    </w:p>
    <w:p w14:paraId="7B328E20">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[4]习近平.在文艺工作座谈会上的讲话[M].北京:人民出版社，2015:17.</w:t>
      </w:r>
    </w:p>
    <w:p w14:paraId="7BE753C8">
      <w:pPr>
        <w:rPr>
          <w:rFonts w:hint="eastAsia"/>
          <w:sz w:val="28"/>
          <w:szCs w:val="28"/>
        </w:rPr>
      </w:pPr>
    </w:p>
    <w:p w14:paraId="6B8C1739">
      <w:pPr>
        <w:rPr>
          <w:rFonts w:hint="eastAsia"/>
          <w:sz w:val="28"/>
          <w:szCs w:val="28"/>
        </w:rPr>
      </w:pPr>
    </w:p>
    <w:p w14:paraId="0FCFF71A">
      <w:pPr>
        <w:rPr>
          <w:rFonts w:hint="eastAsia"/>
          <w:sz w:val="28"/>
          <w:szCs w:val="28"/>
        </w:rPr>
      </w:pPr>
    </w:p>
    <w:p w14:paraId="1B95F83F">
      <w:pPr>
        <w:rPr>
          <w:rFonts w:hint="eastAsia"/>
          <w:sz w:val="28"/>
          <w:szCs w:val="28"/>
        </w:rPr>
      </w:pPr>
    </w:p>
    <w:p w14:paraId="5A3EADEA">
      <w:pPr>
        <w:rPr>
          <w:rFonts w:hint="eastAsia"/>
          <w:sz w:val="28"/>
          <w:szCs w:val="28"/>
        </w:rPr>
      </w:pPr>
    </w:p>
    <w:p w14:paraId="5C5D04F9">
      <w:pPr>
        <w:rPr>
          <w:rFonts w:hint="eastAsia"/>
          <w:sz w:val="28"/>
          <w:szCs w:val="28"/>
        </w:rPr>
      </w:pPr>
    </w:p>
    <w:p w14:paraId="7C28170A">
      <w:pPr>
        <w:rPr>
          <w:rFonts w:hint="eastAsia" w:ascii="华文中宋" w:hAnsi="华文中宋" w:eastAsia="华文中宋" w:cs="华文中宋"/>
          <w:sz w:val="32"/>
          <w:szCs w:val="32"/>
          <w:lang w:eastAsia="zh-CN"/>
        </w:rPr>
      </w:pPr>
      <w:r>
        <w:rPr>
          <w:rFonts w:hint="eastAsia" w:ascii="华文中宋" w:hAnsi="华文中宋" w:eastAsia="华文中宋" w:cs="华文中宋"/>
          <w:sz w:val="32"/>
          <w:szCs w:val="32"/>
          <w:lang w:eastAsia="zh-CN"/>
        </w:rPr>
        <w:t>期刊扫描页</w:t>
      </w:r>
    </w:p>
    <w:p w14:paraId="05AE45D3">
      <w:pPr>
        <w:rPr>
          <w:rFonts w:hint="eastAsia" w:ascii="华文中宋" w:hAnsi="华文中宋" w:eastAsia="华文中宋" w:cs="华文中宋"/>
          <w:sz w:val="32"/>
          <w:szCs w:val="32"/>
          <w:lang w:eastAsia="zh-CN"/>
        </w:rPr>
      </w:pPr>
      <w:r>
        <w:rPr>
          <w:rFonts w:hint="eastAsia" w:ascii="华文中宋" w:hAnsi="华文中宋" w:eastAsia="华文中宋" w:cs="华文中宋"/>
          <w:sz w:val="32"/>
          <w:szCs w:val="32"/>
          <w:lang w:eastAsia="zh-CN"/>
        </w:rPr>
        <w:drawing>
          <wp:inline distT="0" distB="0" distL="114300" distR="114300">
            <wp:extent cx="5189855" cy="7345680"/>
            <wp:effectExtent l="0" t="0" r="10795" b="7620"/>
            <wp:docPr id="1" name="图片 1" descr="论文-P79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论文-P79_00"/>
                    <pic:cNvPicPr>
                      <a:picLocks noChangeAspect="1"/>
                    </pic:cNvPicPr>
                  </pic:nvPicPr>
                  <pic:blipFill>
                    <a:blip r:embed="rId5"/>
                    <a:stretch>
                      <a:fillRect/>
                    </a:stretch>
                  </pic:blipFill>
                  <pic:spPr>
                    <a:xfrm>
                      <a:off x="0" y="0"/>
                      <a:ext cx="5189855" cy="7345680"/>
                    </a:xfrm>
                    <a:prstGeom prst="rect">
                      <a:avLst/>
                    </a:prstGeom>
                  </pic:spPr>
                </pic:pic>
              </a:graphicData>
            </a:graphic>
          </wp:inline>
        </w:drawing>
      </w:r>
    </w:p>
    <w:p w14:paraId="20560255">
      <w:pPr>
        <w:rPr>
          <w:rFonts w:hint="eastAsia" w:ascii="华文中宋" w:hAnsi="华文中宋" w:eastAsia="华文中宋" w:cs="华文中宋"/>
          <w:sz w:val="32"/>
          <w:szCs w:val="32"/>
          <w:lang w:eastAsia="zh-CN"/>
        </w:rPr>
      </w:pPr>
    </w:p>
    <w:p w14:paraId="5FA08066">
      <w:pPr>
        <w:rPr>
          <w:rFonts w:hint="eastAsia" w:ascii="华文中宋" w:hAnsi="华文中宋" w:eastAsia="华文中宋" w:cs="华文中宋"/>
          <w:sz w:val="32"/>
          <w:szCs w:val="32"/>
          <w:lang w:eastAsia="zh-CN"/>
        </w:rPr>
      </w:pPr>
    </w:p>
    <w:p w14:paraId="3E56BE10">
      <w:pPr>
        <w:rPr>
          <w:rFonts w:hint="eastAsia" w:ascii="华文中宋" w:hAnsi="华文中宋" w:eastAsia="华文中宋" w:cs="华文中宋"/>
          <w:sz w:val="32"/>
          <w:szCs w:val="32"/>
          <w:lang w:eastAsia="zh-CN"/>
        </w:rPr>
      </w:pPr>
      <w:r>
        <w:rPr>
          <w:rFonts w:hint="eastAsia" w:ascii="华文中宋" w:hAnsi="华文中宋" w:eastAsia="华文中宋" w:cs="华文中宋"/>
          <w:sz w:val="32"/>
          <w:szCs w:val="32"/>
          <w:lang w:eastAsia="zh-CN"/>
        </w:rPr>
        <w:drawing>
          <wp:inline distT="0" distB="0" distL="114300" distR="114300">
            <wp:extent cx="5262245" cy="7447280"/>
            <wp:effectExtent l="0" t="0" r="14605" b="1270"/>
            <wp:docPr id="2" name="图片 2" descr="论文-P8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论文-P80_00"/>
                    <pic:cNvPicPr>
                      <a:picLocks noChangeAspect="1"/>
                    </pic:cNvPicPr>
                  </pic:nvPicPr>
                  <pic:blipFill>
                    <a:blip r:embed="rId6"/>
                    <a:stretch>
                      <a:fillRect/>
                    </a:stretch>
                  </pic:blipFill>
                  <pic:spPr>
                    <a:xfrm>
                      <a:off x="0" y="0"/>
                      <a:ext cx="5262245" cy="7447280"/>
                    </a:xfrm>
                    <a:prstGeom prst="rect">
                      <a:avLst/>
                    </a:prstGeom>
                  </pic:spPr>
                </pic:pic>
              </a:graphicData>
            </a:graphic>
          </wp:inline>
        </w:drawing>
      </w:r>
    </w:p>
    <w:p w14:paraId="286FC821">
      <w:pPr>
        <w:rPr>
          <w:rFonts w:hint="eastAsia" w:ascii="华文中宋" w:hAnsi="华文中宋" w:eastAsia="华文中宋" w:cs="华文中宋"/>
          <w:sz w:val="32"/>
          <w:szCs w:val="32"/>
          <w:lang w:eastAsia="zh-CN"/>
        </w:rPr>
      </w:pPr>
    </w:p>
    <w:p w14:paraId="6A4420E6">
      <w:pPr>
        <w:rPr>
          <w:rFonts w:hint="eastAsia" w:ascii="华文中宋" w:hAnsi="华文中宋" w:eastAsia="华文中宋" w:cs="华文中宋"/>
          <w:sz w:val="32"/>
          <w:szCs w:val="32"/>
          <w:lang w:eastAsia="zh-CN"/>
        </w:rPr>
      </w:pPr>
    </w:p>
    <w:p w14:paraId="6B8AE53B">
      <w:pPr>
        <w:rPr>
          <w:rFonts w:hint="eastAsia" w:ascii="华文中宋" w:hAnsi="华文中宋" w:eastAsia="华文中宋" w:cs="华文中宋"/>
          <w:sz w:val="32"/>
          <w:szCs w:val="32"/>
          <w:lang w:eastAsia="zh-CN"/>
        </w:rPr>
      </w:pPr>
    </w:p>
    <w:p w14:paraId="3E109055">
      <w:pPr>
        <w:rPr>
          <w:rFonts w:hint="eastAsia" w:ascii="华文中宋" w:hAnsi="华文中宋" w:eastAsia="华文中宋" w:cs="华文中宋"/>
          <w:sz w:val="32"/>
          <w:szCs w:val="32"/>
          <w:lang w:eastAsia="zh-CN"/>
        </w:rPr>
      </w:pPr>
      <w:r>
        <w:rPr>
          <w:rFonts w:hint="eastAsia" w:ascii="华文中宋" w:hAnsi="华文中宋" w:eastAsia="华文中宋" w:cs="华文中宋"/>
          <w:sz w:val="32"/>
          <w:szCs w:val="32"/>
          <w:lang w:eastAsia="zh-CN"/>
        </w:rPr>
        <w:drawing>
          <wp:inline distT="0" distB="0" distL="114300" distR="114300">
            <wp:extent cx="5118735" cy="7244715"/>
            <wp:effectExtent l="0" t="0" r="5715" b="13335"/>
            <wp:docPr id="3" name="图片 3" descr="论文-P8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论文-P81_00"/>
                    <pic:cNvPicPr>
                      <a:picLocks noChangeAspect="1"/>
                    </pic:cNvPicPr>
                  </pic:nvPicPr>
                  <pic:blipFill>
                    <a:blip r:embed="rId7"/>
                    <a:stretch>
                      <a:fillRect/>
                    </a:stretch>
                  </pic:blipFill>
                  <pic:spPr>
                    <a:xfrm>
                      <a:off x="0" y="0"/>
                      <a:ext cx="5118735" cy="7244715"/>
                    </a:xfrm>
                    <a:prstGeom prst="rect">
                      <a:avLst/>
                    </a:prstGeom>
                  </pic:spPr>
                </pic:pic>
              </a:graphicData>
            </a:graphic>
          </wp:inline>
        </w:drawing>
      </w:r>
    </w:p>
    <w:p w14:paraId="75977936">
      <w:pPr>
        <w:rPr>
          <w:rFonts w:hint="eastAsia" w:ascii="华文中宋" w:hAnsi="华文中宋" w:eastAsia="华文中宋" w:cs="华文中宋"/>
          <w:sz w:val="32"/>
          <w:szCs w:val="32"/>
          <w:lang w:eastAsia="zh-CN"/>
        </w:rPr>
      </w:pPr>
    </w:p>
    <w:p w14:paraId="4CD8EC7F">
      <w:pPr>
        <w:rPr>
          <w:rFonts w:hint="eastAsia" w:ascii="华文中宋" w:hAnsi="华文中宋" w:eastAsia="华文中宋" w:cs="华文中宋"/>
          <w:sz w:val="32"/>
          <w:szCs w:val="32"/>
          <w:lang w:eastAsia="zh-CN"/>
        </w:rPr>
      </w:pPr>
    </w:p>
    <w:p w14:paraId="5FF3C88F">
      <w:pPr>
        <w:rPr>
          <w:rFonts w:hint="eastAsia" w:ascii="华文中宋" w:hAnsi="华文中宋" w:eastAsia="华文中宋" w:cs="华文中宋"/>
          <w:sz w:val="32"/>
          <w:szCs w:val="32"/>
          <w:lang w:eastAsia="zh-CN"/>
        </w:rPr>
      </w:pPr>
    </w:p>
    <w:p w14:paraId="18DB5CBD">
      <w:pPr>
        <w:rPr>
          <w:rFonts w:hint="eastAsia" w:ascii="华文中宋" w:hAnsi="华文中宋" w:eastAsia="华文中宋" w:cs="华文中宋"/>
          <w:sz w:val="32"/>
          <w:szCs w:val="32"/>
          <w:lang w:eastAsia="zh-CN"/>
        </w:rPr>
      </w:pPr>
      <w:r>
        <w:rPr>
          <w:rFonts w:hint="eastAsia" w:ascii="华文中宋" w:hAnsi="华文中宋" w:eastAsia="华文中宋" w:cs="华文中宋"/>
          <w:sz w:val="32"/>
          <w:szCs w:val="32"/>
          <w:lang w:eastAsia="zh-CN"/>
        </w:rPr>
        <w:drawing>
          <wp:inline distT="0" distB="0" distL="114300" distR="114300">
            <wp:extent cx="5445125" cy="7706360"/>
            <wp:effectExtent l="0" t="0" r="3175" b="8890"/>
            <wp:docPr id="4" name="图片 4" descr="论文-P8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论文-P82_00"/>
                    <pic:cNvPicPr>
                      <a:picLocks noChangeAspect="1"/>
                    </pic:cNvPicPr>
                  </pic:nvPicPr>
                  <pic:blipFill>
                    <a:blip r:embed="rId8"/>
                    <a:stretch>
                      <a:fillRect/>
                    </a:stretch>
                  </pic:blipFill>
                  <pic:spPr>
                    <a:xfrm>
                      <a:off x="0" y="0"/>
                      <a:ext cx="5445125" cy="7706360"/>
                    </a:xfrm>
                    <a:prstGeom prst="rect">
                      <a:avLst/>
                    </a:prstGeom>
                  </pic:spPr>
                </pic:pic>
              </a:graphicData>
            </a:graphic>
          </wp:inline>
        </w:drawing>
      </w:r>
    </w:p>
    <w:p w14:paraId="23C27A47">
      <w:pPr>
        <w:rPr>
          <w:rFonts w:hint="eastAsia" w:ascii="华文中宋" w:hAnsi="华文中宋" w:eastAsia="华文中宋" w:cs="华文中宋"/>
          <w:sz w:val="32"/>
          <w:szCs w:val="32"/>
          <w:lang w:eastAsia="zh-CN"/>
        </w:rPr>
      </w:pPr>
    </w:p>
    <w:p w14:paraId="53481678">
      <w:pPr>
        <w:rPr>
          <w:rFonts w:hint="eastAsia" w:ascii="华文中宋" w:hAnsi="华文中宋" w:eastAsia="华文中宋" w:cs="华文中宋"/>
          <w:sz w:val="32"/>
          <w:szCs w:val="32"/>
          <w:lang w:eastAsia="zh-CN"/>
        </w:rPr>
      </w:pPr>
    </w:p>
    <w:p w14:paraId="41F80055">
      <w:pPr>
        <w:rPr>
          <w:rFonts w:hint="eastAsia" w:ascii="华文中宋" w:hAnsi="华文中宋" w:eastAsia="华文中宋" w:cs="华文中宋"/>
          <w:sz w:val="32"/>
          <w:szCs w:val="32"/>
          <w:lang w:eastAsia="zh-CN"/>
        </w:rPr>
      </w:pPr>
      <w:r>
        <w:rPr>
          <w:rFonts w:hint="eastAsia" w:ascii="华文中宋" w:hAnsi="华文中宋" w:eastAsia="华文中宋" w:cs="华文中宋"/>
          <w:sz w:val="32"/>
          <w:szCs w:val="32"/>
          <w:lang w:eastAsia="zh-CN"/>
        </w:rPr>
        <w:drawing>
          <wp:inline distT="0" distB="0" distL="114300" distR="114300">
            <wp:extent cx="5406390" cy="7651750"/>
            <wp:effectExtent l="0" t="0" r="3810" b="6350"/>
            <wp:docPr id="5" name="图片 5" descr="目录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目录1_00"/>
                    <pic:cNvPicPr>
                      <a:picLocks noChangeAspect="1"/>
                    </pic:cNvPicPr>
                  </pic:nvPicPr>
                  <pic:blipFill>
                    <a:blip r:embed="rId9"/>
                    <a:stretch>
                      <a:fillRect/>
                    </a:stretch>
                  </pic:blipFill>
                  <pic:spPr>
                    <a:xfrm>
                      <a:off x="0" y="0"/>
                      <a:ext cx="5406390" cy="7651750"/>
                    </a:xfrm>
                    <a:prstGeom prst="rect">
                      <a:avLst/>
                    </a:prstGeom>
                  </pic:spPr>
                </pic:pic>
              </a:graphicData>
            </a:graphic>
          </wp:inline>
        </w:drawing>
      </w:r>
    </w:p>
    <w:p w14:paraId="5FE67154">
      <w:pPr>
        <w:rPr>
          <w:rFonts w:hint="eastAsia" w:ascii="华文中宋" w:hAnsi="华文中宋" w:eastAsia="华文中宋" w:cs="华文中宋"/>
          <w:sz w:val="32"/>
          <w:szCs w:val="32"/>
          <w:lang w:eastAsia="zh-CN"/>
        </w:rPr>
      </w:pPr>
    </w:p>
    <w:p w14:paraId="11A5F310">
      <w:pPr>
        <w:rPr>
          <w:rFonts w:hint="eastAsia" w:ascii="华文中宋" w:hAnsi="华文中宋" w:eastAsia="华文中宋" w:cs="华文中宋"/>
          <w:sz w:val="32"/>
          <w:szCs w:val="32"/>
          <w:lang w:eastAsia="zh-CN"/>
        </w:rPr>
      </w:pPr>
    </w:p>
    <w:p w14:paraId="64D8D85B">
      <w:pPr>
        <w:rPr>
          <w:rFonts w:hint="eastAsia" w:ascii="华文中宋" w:hAnsi="华文中宋" w:eastAsia="华文中宋" w:cs="华文中宋"/>
          <w:sz w:val="32"/>
          <w:szCs w:val="32"/>
          <w:lang w:eastAsia="zh-CN"/>
        </w:rPr>
      </w:pPr>
      <w:r>
        <w:rPr>
          <w:rFonts w:hint="eastAsia" w:ascii="华文中宋" w:hAnsi="华文中宋" w:eastAsia="华文中宋" w:cs="华文中宋"/>
          <w:sz w:val="32"/>
          <w:szCs w:val="32"/>
          <w:lang w:eastAsia="zh-CN"/>
        </w:rPr>
        <w:drawing>
          <wp:inline distT="0" distB="0" distL="114300" distR="114300">
            <wp:extent cx="5073650" cy="7179945"/>
            <wp:effectExtent l="0" t="0" r="12700" b="1905"/>
            <wp:docPr id="6" name="图片 6" descr="目录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目录2_00"/>
                    <pic:cNvPicPr>
                      <a:picLocks noChangeAspect="1"/>
                    </pic:cNvPicPr>
                  </pic:nvPicPr>
                  <pic:blipFill>
                    <a:blip r:embed="rId10"/>
                    <a:stretch>
                      <a:fillRect/>
                    </a:stretch>
                  </pic:blipFill>
                  <pic:spPr>
                    <a:xfrm>
                      <a:off x="0" y="0"/>
                      <a:ext cx="5073650" cy="7179945"/>
                    </a:xfrm>
                    <a:prstGeom prst="rect">
                      <a:avLst/>
                    </a:prstGeom>
                  </pic:spPr>
                </pic:pic>
              </a:graphicData>
            </a:graphic>
          </wp:inline>
        </w:drawing>
      </w:r>
    </w:p>
    <w:p w14:paraId="034A508F">
      <w:pPr>
        <w:rPr>
          <w:rFonts w:hint="eastAsia" w:ascii="华文中宋" w:hAnsi="华文中宋" w:eastAsia="华文中宋" w:cs="华文中宋"/>
          <w:sz w:val="32"/>
          <w:szCs w:val="32"/>
          <w:lang w:eastAsia="zh-CN"/>
        </w:rPr>
      </w:pPr>
    </w:p>
    <w:p w14:paraId="3A2D99D7">
      <w:pPr>
        <w:rPr>
          <w:rFonts w:hint="eastAsia" w:ascii="华文中宋" w:hAnsi="华文中宋" w:eastAsia="华文中宋" w:cs="华文中宋"/>
          <w:sz w:val="32"/>
          <w:szCs w:val="32"/>
          <w:lang w:eastAsia="zh-CN"/>
        </w:rPr>
      </w:pPr>
    </w:p>
    <w:p w14:paraId="4734680F">
      <w:pPr>
        <w:rPr>
          <w:rFonts w:hint="eastAsia" w:ascii="华文中宋" w:hAnsi="华文中宋" w:eastAsia="华文中宋" w:cs="华文中宋"/>
          <w:sz w:val="32"/>
          <w:szCs w:val="32"/>
          <w:lang w:eastAsia="zh-CN"/>
        </w:rPr>
      </w:pPr>
    </w:p>
    <w:p w14:paraId="149973F8">
      <w:pPr>
        <w:rPr>
          <w:rFonts w:hint="eastAsia" w:ascii="华文中宋" w:hAnsi="华文中宋" w:eastAsia="华文中宋" w:cs="华文中宋"/>
          <w:sz w:val="32"/>
          <w:szCs w:val="32"/>
          <w:lang w:eastAsia="zh-CN"/>
        </w:rPr>
      </w:pPr>
      <w:r>
        <w:rPr>
          <w:rFonts w:hint="eastAsia" w:ascii="华文中宋" w:hAnsi="华文中宋" w:eastAsia="华文中宋" w:cs="华文中宋"/>
          <w:sz w:val="32"/>
          <w:szCs w:val="32"/>
          <w:lang w:eastAsia="zh-CN"/>
        </w:rPr>
        <w:drawing>
          <wp:inline distT="0" distB="0" distL="114300" distR="114300">
            <wp:extent cx="5238750" cy="7413625"/>
            <wp:effectExtent l="0" t="0" r="0" b="15875"/>
            <wp:docPr id="7" name="图片 7" descr="目录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目录3_00"/>
                    <pic:cNvPicPr>
                      <a:picLocks noChangeAspect="1"/>
                    </pic:cNvPicPr>
                  </pic:nvPicPr>
                  <pic:blipFill>
                    <a:blip r:embed="rId11"/>
                    <a:stretch>
                      <a:fillRect/>
                    </a:stretch>
                  </pic:blipFill>
                  <pic:spPr>
                    <a:xfrm>
                      <a:off x="0" y="0"/>
                      <a:ext cx="5238750" cy="7413625"/>
                    </a:xfrm>
                    <a:prstGeom prst="rect">
                      <a:avLst/>
                    </a:prstGeom>
                  </pic:spPr>
                </pic:pic>
              </a:graphicData>
            </a:graphic>
          </wp:inline>
        </w:drawing>
      </w:r>
    </w:p>
    <w:p w14:paraId="2BDCA55D">
      <w:pPr>
        <w:rPr>
          <w:rFonts w:hint="eastAsia" w:ascii="华文中宋" w:hAnsi="华文中宋" w:eastAsia="华文中宋" w:cs="华文中宋"/>
          <w:sz w:val="32"/>
          <w:szCs w:val="32"/>
          <w:lang w:eastAsia="zh-CN"/>
        </w:rPr>
      </w:pPr>
    </w:p>
    <w:p w14:paraId="133085E7">
      <w:pPr>
        <w:rPr>
          <w:rFonts w:hint="eastAsia" w:ascii="华文中宋" w:hAnsi="华文中宋" w:eastAsia="华文中宋" w:cs="华文中宋"/>
          <w:sz w:val="32"/>
          <w:szCs w:val="32"/>
          <w:lang w:eastAsia="zh-CN"/>
        </w:rPr>
      </w:pPr>
    </w:p>
    <w:p w14:paraId="575FB169">
      <w:pPr>
        <w:rPr>
          <w:rFonts w:hint="eastAsia" w:ascii="华文中宋" w:hAnsi="华文中宋" w:eastAsia="华文中宋" w:cs="华文中宋"/>
          <w:sz w:val="32"/>
          <w:szCs w:val="32"/>
          <w:lang w:eastAsia="zh-CN"/>
        </w:rPr>
      </w:pPr>
    </w:p>
    <w:p w14:paraId="4B8E5F9E">
      <w:pPr>
        <w:rPr>
          <w:rFonts w:hint="eastAsia" w:ascii="华文中宋" w:hAnsi="华文中宋" w:eastAsia="华文中宋" w:cs="华文中宋"/>
          <w:sz w:val="32"/>
          <w:szCs w:val="32"/>
          <w:lang w:eastAsia="zh-CN"/>
        </w:rPr>
      </w:pPr>
      <w:r>
        <w:rPr>
          <w:rFonts w:hint="eastAsia" w:ascii="华文中宋" w:hAnsi="华文中宋" w:eastAsia="华文中宋" w:cs="华文中宋"/>
          <w:sz w:val="32"/>
          <w:szCs w:val="32"/>
          <w:lang w:eastAsia="zh-CN"/>
        </w:rPr>
        <w:drawing>
          <wp:inline distT="0" distB="0" distL="114300" distR="114300">
            <wp:extent cx="5342255" cy="7560310"/>
            <wp:effectExtent l="0" t="0" r="10795" b="2540"/>
            <wp:docPr id="8" name="图片 8" descr="封皮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封皮1_00"/>
                    <pic:cNvPicPr>
                      <a:picLocks noChangeAspect="1"/>
                    </pic:cNvPicPr>
                  </pic:nvPicPr>
                  <pic:blipFill>
                    <a:blip r:embed="rId12"/>
                    <a:stretch>
                      <a:fillRect/>
                    </a:stretch>
                  </pic:blipFill>
                  <pic:spPr>
                    <a:xfrm>
                      <a:off x="0" y="0"/>
                      <a:ext cx="5342255" cy="7560310"/>
                    </a:xfrm>
                    <a:prstGeom prst="rect">
                      <a:avLst/>
                    </a:prstGeom>
                  </pic:spPr>
                </pic:pic>
              </a:graphicData>
            </a:graphic>
          </wp:inline>
        </w:drawing>
      </w:r>
    </w:p>
    <w:p w14:paraId="21C45262">
      <w:pPr>
        <w:rPr>
          <w:rFonts w:hint="eastAsia" w:ascii="华文中宋" w:hAnsi="华文中宋" w:eastAsia="华文中宋" w:cs="华文中宋"/>
          <w:sz w:val="32"/>
          <w:szCs w:val="32"/>
          <w:lang w:eastAsia="zh-CN"/>
        </w:rPr>
      </w:pPr>
    </w:p>
    <w:p w14:paraId="58B314C5">
      <w:pPr>
        <w:rPr>
          <w:rFonts w:hint="eastAsia" w:ascii="华文中宋" w:hAnsi="华文中宋" w:eastAsia="华文中宋" w:cs="华文中宋"/>
          <w:sz w:val="32"/>
          <w:szCs w:val="32"/>
          <w:lang w:eastAsia="zh-CN"/>
        </w:rPr>
      </w:pPr>
    </w:p>
    <w:p w14:paraId="2F88E2B1">
      <w:pPr>
        <w:rPr>
          <w:rFonts w:hint="eastAsia" w:ascii="华文中宋" w:hAnsi="华文中宋" w:eastAsia="华文中宋" w:cs="华文中宋"/>
          <w:sz w:val="32"/>
          <w:szCs w:val="32"/>
          <w:lang w:eastAsia="zh-CN"/>
        </w:rPr>
      </w:pPr>
      <w:bookmarkStart w:id="0" w:name="_GoBack"/>
      <w:r>
        <w:rPr>
          <w:rFonts w:hint="eastAsia" w:ascii="华文中宋" w:hAnsi="华文中宋" w:eastAsia="华文中宋" w:cs="华文中宋"/>
          <w:sz w:val="32"/>
          <w:szCs w:val="32"/>
          <w:lang w:eastAsia="zh-CN"/>
        </w:rPr>
        <w:drawing>
          <wp:inline distT="0" distB="0" distL="114300" distR="114300">
            <wp:extent cx="5161280" cy="7304405"/>
            <wp:effectExtent l="0" t="0" r="1270" b="10795"/>
            <wp:docPr id="9" name="图片 9" descr="封底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封底4_00"/>
                    <pic:cNvPicPr>
                      <a:picLocks noChangeAspect="1"/>
                    </pic:cNvPicPr>
                  </pic:nvPicPr>
                  <pic:blipFill>
                    <a:blip r:embed="rId13"/>
                    <a:stretch>
                      <a:fillRect/>
                    </a:stretch>
                  </pic:blipFill>
                  <pic:spPr>
                    <a:xfrm>
                      <a:off x="0" y="0"/>
                      <a:ext cx="5161280" cy="7304405"/>
                    </a:xfrm>
                    <a:prstGeom prst="rect">
                      <a:avLst/>
                    </a:prstGeom>
                  </pic:spPr>
                </pic:pic>
              </a:graphicData>
            </a:graphic>
          </wp:inline>
        </w:drawing>
      </w:r>
      <w:bookmarkEnd w:id="0"/>
    </w:p>
    <w:p w14:paraId="0A2F074B">
      <w:pPr>
        <w:rPr>
          <w:rFonts w:hint="eastAsia" w:ascii="华文中宋" w:hAnsi="华文中宋" w:eastAsia="华文中宋" w:cs="华文中宋"/>
          <w:sz w:val="32"/>
          <w:szCs w:val="32"/>
          <w:lang w:eastAsia="zh-CN"/>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C52349B-1282-4388-9C1D-BAA8F5B9B18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A0081547-7D50-4159-B021-D760579AEF34}"/>
  </w:font>
  <w:font w:name="方正仿宋_GB2312">
    <w:panose1 w:val="02000000000000000000"/>
    <w:charset w:val="86"/>
    <w:family w:val="auto"/>
    <w:pitch w:val="default"/>
    <w:sig w:usb0="A00002BF" w:usb1="184F6CFA" w:usb2="00000012" w:usb3="00000000" w:csb0="00040001" w:csb1="00000000"/>
    <w:embedRegular r:id="rId3" w:fontKey="{945E7CA7-806A-4798-B199-2A8B66752C80}"/>
  </w:font>
  <w:font w:name="方正小标宋简体">
    <w:panose1 w:val="02000000000000000000"/>
    <w:charset w:val="86"/>
    <w:family w:val="script"/>
    <w:pitch w:val="default"/>
    <w:sig w:usb0="00000001" w:usb1="08000000" w:usb2="00000000" w:usb3="00000000" w:csb0="00040000" w:csb1="00000000"/>
    <w:embedRegular r:id="rId4" w:fontKey="{411826AA-52B9-4A3A-99B0-3DC6B93ED56D}"/>
  </w:font>
  <w:font w:name="华文中宋">
    <w:panose1 w:val="02010600040101010101"/>
    <w:charset w:val="86"/>
    <w:family w:val="auto"/>
    <w:pitch w:val="default"/>
    <w:sig w:usb0="00000287" w:usb1="080F0000" w:usb2="00000000" w:usb3="00000000" w:csb0="0004009F" w:csb1="DFD70000"/>
    <w:embedRegular r:id="rId5" w:fontKey="{B4D9E85F-A420-4EDF-B4AD-E423348FA796}"/>
  </w:font>
  <w:font w:name="仿宋">
    <w:panose1 w:val="02010609060101010101"/>
    <w:charset w:val="86"/>
    <w:family w:val="auto"/>
    <w:pitch w:val="default"/>
    <w:sig w:usb0="800002BF" w:usb1="38CF7CFA" w:usb2="00000016" w:usb3="00000000" w:csb0="00040001" w:csb1="00000000"/>
    <w:embedRegular r:id="rId6" w:fontKey="{EC6848BD-10D2-4E89-87C5-136705DB16F1}"/>
  </w:font>
  <w:font w:name="楷体">
    <w:panose1 w:val="02010609060101010101"/>
    <w:charset w:val="86"/>
    <w:family w:val="modern"/>
    <w:pitch w:val="default"/>
    <w:sig w:usb0="800002BF" w:usb1="38CF7CFA" w:usb2="00000016" w:usb3="00000000" w:csb0="00040001" w:csb1="00000000"/>
    <w:embedRegular r:id="rId7" w:fontKey="{D50CC6C0-B559-49C0-81E7-C7E51169D0F8}"/>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7153B">
    <w:pPr>
      <w:pStyle w:val="2"/>
      <w:spacing w:after="0" w:line="320" w:lineRule="exact"/>
      <w:ind w:firstLine="602"/>
      <w:rPr>
        <w:rFonts w:hint="eastAsia" w:ascii="楷体" w:hAnsi="楷体" w:eastAsia="楷体"/>
        <w:b/>
        <w:sz w:val="30"/>
        <w:szCs w:val="3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03E4A53"/>
    <w:rsid w:val="1FA83547"/>
    <w:rsid w:val="23B03B94"/>
    <w:rsid w:val="291819B2"/>
    <w:rsid w:val="29C93E99"/>
    <w:rsid w:val="33363900"/>
    <w:rsid w:val="4CA94913"/>
    <w:rsid w:val="5D250E1A"/>
    <w:rsid w:val="70A7107E"/>
    <w:rsid w:val="70CD2B43"/>
    <w:rsid w:val="73F26870"/>
    <w:rsid w:val="7EF75517"/>
    <w:rsid w:val="7FFAE849"/>
    <w:rsid w:val="DEBAEDA8"/>
    <w:rsid w:val="EB5967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方正仿宋_GB2312" w:asciiTheme="minorHAnsi" w:hAnsiTheme="minorHAnsi" w:cstheme="minorBidi"/>
      <w:kern w:val="2"/>
      <w:sz w:val="32"/>
      <w:szCs w:val="2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3"/>
    <w:basedOn w:val="1"/>
    <w:unhideWhenUsed/>
    <w:qFormat/>
    <w:uiPriority w:val="99"/>
    <w:pPr>
      <w:spacing w:after="120"/>
    </w:pPr>
    <w:rPr>
      <w:sz w:val="16"/>
      <w:szCs w:val="16"/>
    </w:rPr>
  </w:style>
  <w:style w:type="paragraph" w:styleId="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24</Pages>
  <Words>7183</Words>
  <Characters>7338</Characters>
  <Lines>0</Lines>
  <Paragraphs>0</Paragraphs>
  <TotalTime>2</TotalTime>
  <ScaleCrop>false</ScaleCrop>
  <LinksUpToDate>false</LinksUpToDate>
  <CharactersWithSpaces>7449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2026-04-07T14:18:00Z</dcterms:created>
  <dc:creator>EDY</dc:creator>
  <cp:lastModifiedBy>马猴烧酒</cp:lastModifiedBy>
  <dcterms:modified xsi:type="dcterms:W3CDTF">2026-05-12T07:54:15Z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eyJoZGlkIjoiMjE5Mjk5NzcwMjkxMjE2ZTQxZTZlODE2YTNmNjFiYTQiLCJ1c2VySWQiOiI0NjI1MzQyMzMifQ==</vt:lpwstr>
  </property>
  <property fmtid="{D5CDD505-2E9C-101B-9397-08002B2CF9AE}" pid="4" name="ICV">
    <vt:lpwstr>D1E8F804244740EF9C47E280E765C5A0_12</vt:lpwstr>
  </property>
</Properties>
</file>